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Cs/>
          <w:shadow/>
          <w:color w:val="000000" w:themeColor="text1"/>
          <w:sz w:val="44"/>
          <w:szCs w:val="44"/>
          <w:u w:val="single"/>
        </w:rPr>
      </w:pPr>
    </w:p>
    <w:p>
      <w:pPr>
        <w:jc w:val="center"/>
        <w:rPr>
          <w:rFonts w:ascii="宋体" w:hAnsi="宋体"/>
          <w:sz w:val="36"/>
          <w:szCs w:val="36"/>
        </w:rPr>
      </w:pPr>
      <w:bookmarkStart w:id="0" w:name="_Toc36265812"/>
      <w:bookmarkStart w:id="1" w:name="_Toc34472824"/>
      <w:bookmarkStart w:id="2" w:name="_Toc55051387"/>
      <w:bookmarkStart w:id="3" w:name="_Toc36265862"/>
      <w:permStart w:id="0" w:edGrp="everyone"/>
      <w:r>
        <w:rPr>
          <w:rFonts w:hint="eastAsia" w:ascii="宋体" w:hAnsi="宋体"/>
          <w:sz w:val="36"/>
          <w:szCs w:val="36"/>
        </w:rPr>
        <w:t>三农厂区河边泵房扩建项目</w:t>
      </w:r>
    </w:p>
    <w:p>
      <w:pPr>
        <w:jc w:val="center"/>
        <w:rPr>
          <w:rFonts w:ascii="宋体" w:hAnsi="宋体"/>
          <w:sz w:val="44"/>
          <w:szCs w:val="44"/>
        </w:rPr>
      </w:pPr>
    </w:p>
    <w:p>
      <w:pPr>
        <w:jc w:val="center"/>
        <w:rPr>
          <w:rFonts w:ascii="宋体" w:hAnsi="宋体"/>
          <w:sz w:val="32"/>
        </w:rPr>
      </w:pPr>
    </w:p>
    <w:p>
      <w:pPr>
        <w:jc w:val="center"/>
        <w:rPr>
          <w:rFonts w:ascii="宋体" w:hAnsi="宋体"/>
          <w:sz w:val="32"/>
        </w:rPr>
      </w:pPr>
    </w:p>
    <w:p>
      <w:pPr>
        <w:jc w:val="center"/>
        <w:rPr>
          <w:rFonts w:ascii="宋体" w:hAnsi="宋体"/>
          <w:sz w:val="32"/>
        </w:rPr>
      </w:pPr>
    </w:p>
    <w:p>
      <w:pPr>
        <w:ind w:firstLine="2520" w:firstLineChars="350"/>
        <w:rPr>
          <w:rFonts w:ascii="宋体" w:hAnsi="宋体"/>
          <w:sz w:val="72"/>
        </w:rPr>
      </w:pPr>
      <w:r>
        <w:rPr>
          <w:rFonts w:hint="eastAsia" w:ascii="宋体" w:hAnsi="宋体"/>
          <w:sz w:val="72"/>
        </w:rPr>
        <w:t>施工招标文件</w:t>
      </w:r>
    </w:p>
    <w:p>
      <w:pPr>
        <w:jc w:val="center"/>
        <w:rPr>
          <w:rFonts w:ascii="宋体" w:hAnsi="宋体"/>
          <w:sz w:val="32"/>
        </w:rPr>
      </w:pPr>
    </w:p>
    <w:p>
      <w:pPr>
        <w:jc w:val="center"/>
        <w:rPr>
          <w:rFonts w:ascii="宋体" w:hAnsi="宋体"/>
          <w:sz w:val="32"/>
        </w:rPr>
      </w:pPr>
    </w:p>
    <w:p>
      <w:pPr>
        <w:jc w:val="center"/>
        <w:rPr>
          <w:rFonts w:ascii="宋体" w:hAnsi="宋体"/>
          <w:sz w:val="32"/>
        </w:rPr>
      </w:pPr>
    </w:p>
    <w:p>
      <w:pPr>
        <w:jc w:val="center"/>
        <w:rPr>
          <w:rFonts w:ascii="宋体" w:hAnsi="宋体"/>
          <w:sz w:val="32"/>
        </w:rPr>
      </w:pPr>
    </w:p>
    <w:p>
      <w:pPr>
        <w:jc w:val="center"/>
        <w:rPr>
          <w:rFonts w:ascii="宋体" w:hAnsi="宋体"/>
          <w:sz w:val="32"/>
        </w:rPr>
      </w:pPr>
    </w:p>
    <w:p>
      <w:pPr>
        <w:jc w:val="center"/>
        <w:rPr>
          <w:rFonts w:ascii="宋体" w:hAnsi="宋体"/>
          <w:sz w:val="32"/>
        </w:rPr>
      </w:pPr>
    </w:p>
    <w:p>
      <w:pPr>
        <w:jc w:val="center"/>
        <w:rPr>
          <w:rFonts w:ascii="宋体" w:hAnsi="宋体"/>
          <w:sz w:val="32"/>
        </w:rPr>
      </w:pPr>
    </w:p>
    <w:p>
      <w:pPr>
        <w:jc w:val="center"/>
        <w:rPr>
          <w:rFonts w:ascii="宋体" w:hAnsi="宋体"/>
          <w:sz w:val="32"/>
        </w:rPr>
      </w:pPr>
    </w:p>
    <w:p>
      <w:pPr>
        <w:jc w:val="center"/>
        <w:rPr>
          <w:rFonts w:ascii="宋体" w:hAnsi="宋体"/>
          <w:sz w:val="32"/>
        </w:rPr>
      </w:pPr>
      <w:r>
        <w:rPr>
          <w:rFonts w:hint="eastAsia" w:ascii="宋体" w:hAnsi="宋体"/>
          <w:sz w:val="32"/>
        </w:rPr>
        <w:t xml:space="preserve"> 招标单位：</w:t>
      </w:r>
      <w:bookmarkStart w:id="4" w:name="_Hlk523821721"/>
      <w:r>
        <w:rPr>
          <w:rFonts w:hint="eastAsia" w:ascii="宋体" w:hAnsi="宋体"/>
          <w:sz w:val="32"/>
        </w:rPr>
        <w:t>福建三农新材料有限责任公司</w:t>
      </w:r>
      <w:bookmarkEnd w:id="4"/>
    </w:p>
    <w:p>
      <w:pPr>
        <w:ind w:firstLine="1760" w:firstLineChars="550"/>
        <w:rPr>
          <w:rFonts w:ascii="宋体" w:hAnsi="宋体"/>
          <w:color w:val="FF0000"/>
          <w:sz w:val="32"/>
        </w:rPr>
      </w:pPr>
      <w:r>
        <w:rPr>
          <w:rFonts w:hint="eastAsia" w:ascii="宋体" w:hAnsi="宋体"/>
          <w:sz w:val="32"/>
        </w:rPr>
        <w:t xml:space="preserve">时    间： </w:t>
      </w:r>
      <w:r>
        <w:rPr>
          <w:rFonts w:hint="eastAsia" w:ascii="宋体" w:hAnsi="宋体"/>
          <w:color w:val="FF0000"/>
          <w:sz w:val="32"/>
        </w:rPr>
        <w:t>201</w:t>
      </w:r>
      <w:r>
        <w:rPr>
          <w:rFonts w:ascii="宋体" w:hAnsi="宋体"/>
          <w:color w:val="FF0000"/>
          <w:sz w:val="32"/>
        </w:rPr>
        <w:t>8</w:t>
      </w:r>
      <w:r>
        <w:rPr>
          <w:rFonts w:hint="eastAsia" w:ascii="宋体" w:hAnsi="宋体"/>
          <w:color w:val="FF0000"/>
          <w:sz w:val="32"/>
        </w:rPr>
        <w:t>年9月4日</w:t>
      </w:r>
    </w:p>
    <w:permEnd w:id="0"/>
    <w:p>
      <w:pPr>
        <w:spacing w:line="360" w:lineRule="auto"/>
        <w:ind w:left="540" w:leftChars="257"/>
        <w:jc w:val="left"/>
        <w:rPr>
          <w:rFonts w:ascii="仿宋_GB2312" w:hAnsi="宋体"/>
          <w:b/>
          <w:bCs/>
          <w:color w:val="000000" w:themeColor="text1"/>
          <w:sz w:val="30"/>
          <w:szCs w:val="30"/>
        </w:rPr>
        <w:sectPr>
          <w:headerReference r:id="rId3" w:type="default"/>
          <w:footerReference r:id="rId4" w:type="default"/>
          <w:footerReference r:id="rId5" w:type="even"/>
          <w:pgSz w:w="11906" w:h="16838"/>
          <w:pgMar w:top="1247" w:right="1106" w:bottom="1440" w:left="1259" w:header="851" w:footer="992" w:gutter="0"/>
          <w:pgNumType w:start="0"/>
          <w:cols w:space="425" w:num="1"/>
          <w:docGrid w:type="lines" w:linePitch="312" w:charSpace="0"/>
        </w:sectPr>
      </w:pPr>
    </w:p>
    <w:p>
      <w:pPr>
        <w:spacing w:line="360" w:lineRule="auto"/>
        <w:rPr>
          <w:color w:val="000000" w:themeColor="text1"/>
        </w:rPr>
      </w:pPr>
    </w:p>
    <w:bookmarkEnd w:id="0"/>
    <w:bookmarkEnd w:id="1"/>
    <w:bookmarkEnd w:id="2"/>
    <w:bookmarkEnd w:id="3"/>
    <w:p>
      <w:pPr>
        <w:pStyle w:val="9"/>
        <w:rPr>
          <w:rStyle w:val="13"/>
          <w:color w:val="000000" w:themeColor="text1"/>
        </w:rPr>
      </w:pPr>
      <w:r>
        <w:rPr>
          <w:rStyle w:val="13"/>
          <w:rFonts w:hint="eastAsia"/>
          <w:color w:val="000000" w:themeColor="text1"/>
        </w:rPr>
        <w:t>目  录</w:t>
      </w:r>
    </w:p>
    <w:p>
      <w:pPr>
        <w:spacing w:line="360" w:lineRule="auto"/>
        <w:rPr>
          <w:rFonts w:asciiTheme="majorEastAsia" w:hAnsiTheme="majorEastAsia" w:eastAsiaTheme="majorEastAsia"/>
          <w:color w:val="000000" w:themeColor="text1"/>
          <w:sz w:val="24"/>
        </w:rPr>
      </w:pPr>
    </w:p>
    <w:p>
      <w:pPr>
        <w:pStyle w:val="10"/>
        <w:spacing w:before="240"/>
        <w:rPr>
          <w:rStyle w:val="13"/>
          <w:rFonts w:asciiTheme="minorEastAsia" w:hAnsiTheme="minorEastAsia" w:eastAsiaTheme="minorEastAsia"/>
          <w:bCs/>
          <w:i w:val="0"/>
          <w:color w:val="000000" w:themeColor="text1"/>
          <w:sz w:val="24"/>
          <w:szCs w:val="24"/>
          <w:u w:val="none"/>
        </w:rPr>
      </w:pPr>
      <w:r>
        <w:rPr>
          <w:rStyle w:val="13"/>
          <w:rFonts w:hint="eastAsia" w:asciiTheme="minorEastAsia" w:hAnsiTheme="minorEastAsia" w:eastAsiaTheme="minorEastAsia"/>
          <w:bCs/>
          <w:i w:val="0"/>
          <w:color w:val="000000" w:themeColor="text1"/>
          <w:sz w:val="24"/>
          <w:szCs w:val="24"/>
          <w:u w:val="none"/>
        </w:rPr>
        <w:t>第一部分投标须知</w:t>
      </w:r>
    </w:p>
    <w:p>
      <w:pPr>
        <w:pStyle w:val="10"/>
        <w:spacing w:before="240"/>
        <w:ind w:firstLine="400" w:firstLineChars="200"/>
        <w:rPr>
          <w:rFonts w:asciiTheme="minorEastAsia" w:hAnsiTheme="minorEastAsia" w:eastAsiaTheme="minorEastAsia"/>
          <w:color w:val="000000" w:themeColor="text1"/>
          <w:sz w:val="24"/>
          <w:szCs w:val="24"/>
        </w:rPr>
      </w:pPr>
      <w:r>
        <w:fldChar w:fldCharType="begin"/>
      </w:r>
      <w:r>
        <w:instrText xml:space="preserve"> HYPERLINK \l "_Toc233622070" </w:instrText>
      </w:r>
      <w:r>
        <w:fldChar w:fldCharType="separate"/>
      </w:r>
      <w:r>
        <w:rPr>
          <w:rStyle w:val="13"/>
          <w:rFonts w:hint="eastAsia" w:asciiTheme="minorEastAsia" w:hAnsiTheme="minorEastAsia" w:eastAsiaTheme="minorEastAsia"/>
          <w:bCs/>
          <w:i w:val="0"/>
          <w:color w:val="000000" w:themeColor="text1"/>
          <w:sz w:val="24"/>
          <w:szCs w:val="24"/>
          <w:u w:val="none"/>
        </w:rPr>
        <w:t>第一章  投标须知</w:t>
      </w:r>
      <w:r>
        <w:rPr>
          <w:rStyle w:val="13"/>
          <w:rFonts w:hint="eastAsia" w:asciiTheme="minorEastAsia" w:hAnsiTheme="minorEastAsia" w:eastAsiaTheme="minorEastAsia"/>
          <w:bCs/>
          <w:i w:val="0"/>
          <w:color w:val="000000" w:themeColor="text1"/>
          <w:sz w:val="24"/>
          <w:szCs w:val="24"/>
          <w:u w:val="none"/>
        </w:rPr>
        <w:fldChar w:fldCharType="end"/>
      </w:r>
    </w:p>
    <w:p>
      <w:pPr>
        <w:pStyle w:val="10"/>
        <w:spacing w:before="240"/>
        <w:ind w:firstLine="400" w:firstLineChars="200"/>
        <w:rPr>
          <w:rStyle w:val="13"/>
          <w:rFonts w:asciiTheme="minorEastAsia" w:hAnsiTheme="minorEastAsia" w:eastAsiaTheme="minorEastAsia"/>
          <w:bCs/>
          <w:color w:val="000000" w:themeColor="text1"/>
          <w:sz w:val="24"/>
          <w:szCs w:val="24"/>
          <w:u w:val="none"/>
        </w:rPr>
      </w:pPr>
      <w:r>
        <w:fldChar w:fldCharType="begin"/>
      </w:r>
      <w:r>
        <w:instrText xml:space="preserve"> HYPERLINK \l "_Toc233622071" </w:instrText>
      </w:r>
      <w:r>
        <w:fldChar w:fldCharType="separate"/>
      </w:r>
      <w:r>
        <w:rPr>
          <w:rStyle w:val="13"/>
          <w:rFonts w:hint="eastAsia" w:asciiTheme="minorEastAsia" w:hAnsiTheme="minorEastAsia" w:eastAsiaTheme="minorEastAsia"/>
          <w:bCs/>
          <w:i w:val="0"/>
          <w:color w:val="000000" w:themeColor="text1"/>
          <w:sz w:val="24"/>
          <w:szCs w:val="24"/>
          <w:u w:val="none"/>
        </w:rPr>
        <w:t>第二章  工程信息</w:t>
      </w:r>
      <w:r>
        <w:rPr>
          <w:rStyle w:val="13"/>
          <w:rFonts w:hint="eastAsia" w:asciiTheme="minorEastAsia" w:hAnsiTheme="minorEastAsia" w:eastAsiaTheme="minorEastAsia"/>
          <w:bCs/>
          <w:i w:val="0"/>
          <w:color w:val="000000" w:themeColor="text1"/>
          <w:sz w:val="24"/>
          <w:szCs w:val="24"/>
          <w:u w:val="none"/>
        </w:rPr>
        <w:fldChar w:fldCharType="end"/>
      </w:r>
    </w:p>
    <w:p>
      <w:pPr>
        <w:pStyle w:val="10"/>
        <w:spacing w:before="240"/>
        <w:ind w:firstLine="400" w:firstLineChars="200"/>
        <w:rPr>
          <w:rStyle w:val="13"/>
          <w:rFonts w:asciiTheme="minorEastAsia" w:hAnsiTheme="minorEastAsia" w:eastAsiaTheme="minorEastAsia"/>
          <w:bCs/>
          <w:color w:val="000000" w:themeColor="text1"/>
          <w:sz w:val="24"/>
          <w:szCs w:val="24"/>
          <w:u w:val="none"/>
        </w:rPr>
      </w:pPr>
      <w:r>
        <w:fldChar w:fldCharType="begin"/>
      </w:r>
      <w:r>
        <w:instrText xml:space="preserve"> HYPERLINK \l "_Toc233622072" </w:instrText>
      </w:r>
      <w:r>
        <w:fldChar w:fldCharType="separate"/>
      </w:r>
      <w:r>
        <w:rPr>
          <w:rStyle w:val="13"/>
          <w:rFonts w:hint="eastAsia" w:asciiTheme="minorEastAsia" w:hAnsiTheme="minorEastAsia" w:eastAsiaTheme="minorEastAsia"/>
          <w:bCs/>
          <w:i w:val="0"/>
          <w:color w:val="000000" w:themeColor="text1"/>
          <w:sz w:val="24"/>
          <w:szCs w:val="24"/>
          <w:u w:val="none"/>
        </w:rPr>
        <w:t>第三章招标文件及组成</w:t>
      </w:r>
      <w:r>
        <w:rPr>
          <w:rStyle w:val="13"/>
          <w:rFonts w:hint="eastAsia" w:asciiTheme="minorEastAsia" w:hAnsiTheme="minorEastAsia" w:eastAsiaTheme="minorEastAsia"/>
          <w:bCs/>
          <w:i w:val="0"/>
          <w:color w:val="000000" w:themeColor="text1"/>
          <w:sz w:val="24"/>
          <w:szCs w:val="24"/>
          <w:u w:val="none"/>
        </w:rPr>
        <w:fldChar w:fldCharType="end"/>
      </w:r>
    </w:p>
    <w:p>
      <w:pPr>
        <w:pStyle w:val="10"/>
        <w:spacing w:before="240"/>
        <w:ind w:firstLine="400" w:firstLineChars="200"/>
        <w:rPr>
          <w:rStyle w:val="13"/>
          <w:rFonts w:asciiTheme="minorEastAsia" w:hAnsiTheme="minorEastAsia" w:eastAsiaTheme="minorEastAsia"/>
          <w:bCs/>
          <w:color w:val="000000" w:themeColor="text1"/>
          <w:sz w:val="24"/>
          <w:szCs w:val="24"/>
          <w:u w:val="none"/>
        </w:rPr>
      </w:pPr>
      <w:r>
        <w:fldChar w:fldCharType="begin"/>
      </w:r>
      <w:r>
        <w:instrText xml:space="preserve"> HYPERLINK \l "_Toc233622073" </w:instrText>
      </w:r>
      <w:r>
        <w:fldChar w:fldCharType="separate"/>
      </w:r>
      <w:r>
        <w:rPr>
          <w:rStyle w:val="13"/>
          <w:rFonts w:hint="eastAsia" w:asciiTheme="minorEastAsia" w:hAnsiTheme="minorEastAsia" w:eastAsiaTheme="minorEastAsia"/>
          <w:bCs/>
          <w:i w:val="0"/>
          <w:color w:val="000000" w:themeColor="text1"/>
          <w:sz w:val="24"/>
          <w:szCs w:val="24"/>
          <w:u w:val="none"/>
        </w:rPr>
        <w:t>第四章投标文件要求</w:t>
      </w:r>
      <w:r>
        <w:rPr>
          <w:rStyle w:val="13"/>
          <w:rFonts w:hint="eastAsia" w:asciiTheme="minorEastAsia" w:hAnsiTheme="minorEastAsia" w:eastAsiaTheme="minorEastAsia"/>
          <w:bCs/>
          <w:i w:val="0"/>
          <w:color w:val="000000" w:themeColor="text1"/>
          <w:sz w:val="24"/>
          <w:szCs w:val="24"/>
          <w:u w:val="none"/>
        </w:rPr>
        <w:fldChar w:fldCharType="end"/>
      </w:r>
    </w:p>
    <w:p>
      <w:pPr>
        <w:pStyle w:val="10"/>
        <w:spacing w:before="240"/>
        <w:ind w:firstLine="400" w:firstLineChars="200"/>
        <w:rPr>
          <w:rStyle w:val="13"/>
          <w:rFonts w:asciiTheme="minorEastAsia" w:hAnsiTheme="minorEastAsia" w:eastAsiaTheme="minorEastAsia"/>
          <w:bCs/>
          <w:color w:val="000000" w:themeColor="text1"/>
          <w:sz w:val="24"/>
          <w:szCs w:val="24"/>
          <w:u w:val="none"/>
        </w:rPr>
      </w:pPr>
      <w:r>
        <w:fldChar w:fldCharType="begin"/>
      </w:r>
      <w:r>
        <w:instrText xml:space="preserve"> HYPERLINK \l "_Toc233622074" </w:instrText>
      </w:r>
      <w:r>
        <w:fldChar w:fldCharType="separate"/>
      </w:r>
      <w:r>
        <w:rPr>
          <w:rStyle w:val="13"/>
          <w:rFonts w:hint="eastAsia" w:asciiTheme="minorEastAsia" w:hAnsiTheme="minorEastAsia" w:eastAsiaTheme="minorEastAsia"/>
          <w:bCs/>
          <w:i w:val="0"/>
          <w:color w:val="000000" w:themeColor="text1"/>
          <w:sz w:val="24"/>
          <w:szCs w:val="24"/>
          <w:u w:val="none"/>
        </w:rPr>
        <w:t>第五章投标文件的评审</w:t>
      </w:r>
      <w:r>
        <w:rPr>
          <w:rStyle w:val="13"/>
          <w:rFonts w:hint="eastAsia" w:asciiTheme="minorEastAsia" w:hAnsiTheme="minorEastAsia" w:eastAsiaTheme="minorEastAsia"/>
          <w:bCs/>
          <w:i w:val="0"/>
          <w:color w:val="000000" w:themeColor="text1"/>
          <w:sz w:val="24"/>
          <w:szCs w:val="24"/>
          <w:u w:val="none"/>
        </w:rPr>
        <w:fldChar w:fldCharType="end"/>
      </w:r>
    </w:p>
    <w:p>
      <w:pPr>
        <w:pStyle w:val="10"/>
        <w:spacing w:before="240"/>
        <w:ind w:firstLine="400" w:firstLineChars="200"/>
        <w:rPr>
          <w:rStyle w:val="13"/>
          <w:rFonts w:asciiTheme="minorEastAsia" w:hAnsiTheme="minorEastAsia" w:eastAsiaTheme="minorEastAsia"/>
          <w:bCs/>
          <w:color w:val="000000" w:themeColor="text1"/>
          <w:sz w:val="24"/>
          <w:szCs w:val="24"/>
          <w:u w:val="none"/>
        </w:rPr>
      </w:pPr>
      <w:r>
        <w:fldChar w:fldCharType="begin"/>
      </w:r>
      <w:r>
        <w:instrText xml:space="preserve"> HYPERLINK \l "_Toc233622075" </w:instrText>
      </w:r>
      <w:r>
        <w:fldChar w:fldCharType="separate"/>
      </w:r>
      <w:r>
        <w:rPr>
          <w:rStyle w:val="13"/>
          <w:rFonts w:hint="eastAsia" w:asciiTheme="minorEastAsia" w:hAnsiTheme="minorEastAsia" w:eastAsiaTheme="minorEastAsia"/>
          <w:bCs/>
          <w:i w:val="0"/>
          <w:color w:val="000000" w:themeColor="text1"/>
          <w:sz w:val="24"/>
          <w:szCs w:val="24"/>
          <w:u w:val="none"/>
        </w:rPr>
        <w:t>第六章其它说明</w:t>
      </w:r>
      <w:r>
        <w:rPr>
          <w:rStyle w:val="13"/>
          <w:rFonts w:hint="eastAsia" w:asciiTheme="minorEastAsia" w:hAnsiTheme="minorEastAsia" w:eastAsiaTheme="minorEastAsia"/>
          <w:bCs/>
          <w:i w:val="0"/>
          <w:color w:val="000000" w:themeColor="text1"/>
          <w:sz w:val="24"/>
          <w:szCs w:val="24"/>
          <w:u w:val="none"/>
        </w:rPr>
        <w:fldChar w:fldCharType="end"/>
      </w:r>
    </w:p>
    <w:p>
      <w:pPr>
        <w:pStyle w:val="10"/>
        <w:spacing w:before="240"/>
        <w:ind w:firstLine="400" w:firstLineChars="200"/>
        <w:rPr>
          <w:rStyle w:val="13"/>
          <w:rFonts w:asciiTheme="minorEastAsia" w:hAnsiTheme="minorEastAsia" w:eastAsiaTheme="minorEastAsia"/>
          <w:bCs/>
          <w:color w:val="000000" w:themeColor="text1"/>
          <w:sz w:val="24"/>
          <w:szCs w:val="24"/>
          <w:u w:val="none"/>
        </w:rPr>
      </w:pPr>
      <w:r>
        <w:fldChar w:fldCharType="begin"/>
      </w:r>
      <w:r>
        <w:instrText xml:space="preserve"> HYPERLINK \l "_Toc233622076" </w:instrText>
      </w:r>
      <w:r>
        <w:fldChar w:fldCharType="separate"/>
      </w:r>
      <w:r>
        <w:rPr>
          <w:rStyle w:val="13"/>
          <w:rFonts w:hint="eastAsia" w:asciiTheme="minorEastAsia" w:hAnsiTheme="minorEastAsia" w:eastAsiaTheme="minorEastAsia"/>
          <w:bCs/>
          <w:i w:val="0"/>
          <w:color w:val="000000" w:themeColor="text1"/>
          <w:sz w:val="24"/>
          <w:szCs w:val="24"/>
          <w:u w:val="none"/>
        </w:rPr>
        <w:t>第七章招标文件附件</w:t>
      </w:r>
      <w:r>
        <w:rPr>
          <w:rStyle w:val="13"/>
          <w:rFonts w:hint="eastAsia" w:asciiTheme="minorEastAsia" w:hAnsiTheme="minorEastAsia" w:eastAsiaTheme="minorEastAsia"/>
          <w:bCs/>
          <w:i w:val="0"/>
          <w:color w:val="000000" w:themeColor="text1"/>
          <w:sz w:val="24"/>
          <w:szCs w:val="24"/>
          <w:u w:val="none"/>
        </w:rPr>
        <w:fldChar w:fldCharType="end"/>
      </w:r>
    </w:p>
    <w:p>
      <w:pPr>
        <w:pStyle w:val="10"/>
        <w:spacing w:before="240"/>
        <w:rPr>
          <w:rStyle w:val="13"/>
          <w:rFonts w:asciiTheme="minorEastAsia" w:hAnsiTheme="minorEastAsia" w:eastAsiaTheme="minorEastAsia"/>
          <w:bCs/>
          <w:i w:val="0"/>
          <w:color w:val="000000" w:themeColor="text1"/>
          <w:sz w:val="24"/>
          <w:szCs w:val="24"/>
          <w:u w:val="none"/>
        </w:rPr>
      </w:pPr>
      <w:r>
        <w:fldChar w:fldCharType="begin"/>
      </w:r>
      <w:r>
        <w:instrText xml:space="preserve"> HYPERLINK \l "_Toc233622078" </w:instrText>
      </w:r>
      <w:r>
        <w:fldChar w:fldCharType="separate"/>
      </w:r>
      <w:r>
        <w:rPr>
          <w:rStyle w:val="13"/>
          <w:rFonts w:hint="eastAsia" w:asciiTheme="minorEastAsia" w:hAnsiTheme="minorEastAsia" w:eastAsiaTheme="minorEastAsia"/>
          <w:bCs/>
          <w:i w:val="0"/>
          <w:color w:val="000000" w:themeColor="text1"/>
          <w:sz w:val="24"/>
          <w:szCs w:val="24"/>
          <w:u w:val="none"/>
        </w:rPr>
        <w:t>第</w:t>
      </w:r>
      <w:r>
        <w:rPr>
          <w:rStyle w:val="13"/>
          <w:rFonts w:hint="eastAsia" w:asciiTheme="minorEastAsia" w:hAnsiTheme="minorEastAsia" w:eastAsiaTheme="minorEastAsia"/>
          <w:bCs/>
          <w:i w:val="0"/>
          <w:color w:val="000000" w:themeColor="text1"/>
          <w:sz w:val="24"/>
          <w:szCs w:val="24"/>
          <w:u w:val="none"/>
          <w:lang w:val="en-US" w:eastAsia="zh-CN"/>
        </w:rPr>
        <w:t>二</w:t>
      </w:r>
      <w:r>
        <w:rPr>
          <w:rStyle w:val="13"/>
          <w:rFonts w:hint="eastAsia" w:asciiTheme="minorEastAsia" w:hAnsiTheme="minorEastAsia" w:eastAsiaTheme="minorEastAsia"/>
          <w:bCs/>
          <w:i w:val="0"/>
          <w:color w:val="000000" w:themeColor="text1"/>
          <w:sz w:val="24"/>
          <w:szCs w:val="24"/>
          <w:u w:val="none"/>
        </w:rPr>
        <w:t>部分</w:t>
      </w:r>
      <w:r>
        <w:rPr>
          <w:rStyle w:val="13"/>
          <w:rFonts w:hint="eastAsia" w:asciiTheme="minorEastAsia" w:hAnsiTheme="minorEastAsia" w:eastAsiaTheme="minorEastAsia"/>
          <w:bCs/>
          <w:i w:val="0"/>
          <w:color w:val="000000" w:themeColor="text1"/>
          <w:sz w:val="24"/>
          <w:szCs w:val="24"/>
          <w:u w:val="none"/>
        </w:rPr>
        <w:fldChar w:fldCharType="end"/>
      </w:r>
      <w:r>
        <w:rPr>
          <w:rStyle w:val="13"/>
          <w:rFonts w:hint="eastAsia" w:asciiTheme="minorEastAsia" w:hAnsiTheme="minorEastAsia" w:eastAsiaTheme="minorEastAsia"/>
          <w:bCs/>
          <w:i w:val="0"/>
          <w:color w:val="000000" w:themeColor="text1"/>
          <w:sz w:val="24"/>
          <w:szCs w:val="24"/>
          <w:u w:val="none"/>
        </w:rPr>
        <w:t>图纸</w:t>
      </w: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bookmarkStart w:id="28" w:name="_GoBack"/>
      <w:bookmarkEnd w:id="28"/>
    </w:p>
    <w:p>
      <w:pPr>
        <w:rPr>
          <w:color w:val="000000" w:themeColor="text1"/>
        </w:rPr>
      </w:pPr>
    </w:p>
    <w:p>
      <w:pPr>
        <w:pStyle w:val="10"/>
        <w:ind w:firstLine="400" w:firstLineChars="200"/>
        <w:jc w:val="left"/>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pStyle w:val="10"/>
        <w:jc w:val="center"/>
        <w:rPr>
          <w:rFonts w:ascii="宋体" w:hAnsi="宋体"/>
          <w:bCs/>
          <w:i w:val="0"/>
          <w:color w:val="000000" w:themeColor="text1"/>
          <w:sz w:val="24"/>
          <w:szCs w:val="24"/>
        </w:rPr>
      </w:pPr>
      <w:r>
        <w:rPr>
          <w:color w:val="000000" w:themeColor="text1"/>
        </w:rPr>
        <w:br w:type="page"/>
      </w:r>
      <w:r>
        <w:rPr>
          <w:rFonts w:hint="eastAsia" w:ascii="宋体" w:hAnsi="宋体"/>
          <w:b/>
          <w:i w:val="0"/>
          <w:iCs w:val="0"/>
          <w:color w:val="000000" w:themeColor="text1"/>
          <w:sz w:val="32"/>
          <w:szCs w:val="32"/>
        </w:rPr>
        <w:t>第一部分    投标须知</w:t>
      </w:r>
    </w:p>
    <w:p>
      <w:pPr>
        <w:pStyle w:val="3"/>
        <w:numPr>
          <w:ilvl w:val="0"/>
          <w:numId w:val="1"/>
        </w:numPr>
        <w:spacing w:line="360" w:lineRule="auto"/>
        <w:rPr>
          <w:rFonts w:ascii="宋体" w:hAnsi="宋体" w:eastAsia="宋体"/>
          <w:bCs w:val="0"/>
          <w:color w:val="000000" w:themeColor="text1"/>
          <w:szCs w:val="32"/>
        </w:rPr>
      </w:pPr>
      <w:bookmarkStart w:id="5" w:name="_Toc233622070"/>
      <w:r>
        <w:rPr>
          <w:rFonts w:hint="eastAsia" w:ascii="宋体" w:hAnsi="宋体" w:eastAsia="宋体"/>
          <w:bCs w:val="0"/>
          <w:color w:val="000000" w:themeColor="text1"/>
          <w:szCs w:val="32"/>
        </w:rPr>
        <w:t>投标须知</w:t>
      </w:r>
      <w:bookmarkEnd w:id="5"/>
    </w:p>
    <w:p>
      <w:pPr>
        <w:spacing w:line="380" w:lineRule="exact"/>
        <w:ind w:firstLine="210" w:firstLineChars="100"/>
        <w:rPr>
          <w:rFonts w:ascii="宋体" w:hAnsi="宋体"/>
          <w:bCs/>
          <w:color w:val="000000" w:themeColor="text1"/>
          <w:sz w:val="24"/>
        </w:rPr>
      </w:pPr>
      <w:r>
        <w:rPr>
          <w:rFonts w:hint="eastAsia"/>
        </w:rPr>
        <w:t xml:space="preserve">  </w:t>
      </w:r>
      <w:r>
        <w:rPr>
          <w:rFonts w:hint="eastAsia" w:ascii="宋体" w:hAnsi="宋体"/>
          <w:bCs/>
          <w:color w:val="000000" w:themeColor="text1"/>
          <w:sz w:val="24"/>
        </w:rPr>
        <w:t xml:space="preserve">                         招标工作时间安排</w:t>
      </w:r>
    </w:p>
    <w:p>
      <w:pPr>
        <w:spacing w:line="380" w:lineRule="exact"/>
        <w:ind w:firstLine="240" w:firstLineChars="100"/>
        <w:rPr>
          <w:rFonts w:ascii="宋体" w:hAnsi="宋体"/>
          <w:bCs/>
          <w:color w:val="000000" w:themeColor="text1"/>
          <w:sz w:val="24"/>
        </w:rPr>
      </w:pPr>
      <w:r>
        <w:rPr>
          <w:rFonts w:hint="eastAsia" w:ascii="宋体" w:hAnsi="宋体"/>
          <w:bCs/>
          <w:color w:val="000000" w:themeColor="text1"/>
          <w:sz w:val="24"/>
        </w:rPr>
        <w:t xml:space="preserve">   </w:t>
      </w:r>
    </w:p>
    <w:tbl>
      <w:tblPr>
        <w:tblStyle w:val="15"/>
        <w:tblW w:w="9720" w:type="dxa"/>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0"/>
        <w:gridCol w:w="3780"/>
        <w:gridCol w:w="4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5" w:hRule="atLeast"/>
        </w:trPr>
        <w:tc>
          <w:tcPr>
            <w:tcW w:w="1800" w:type="dxa"/>
          </w:tcPr>
          <w:p>
            <w:pPr>
              <w:spacing w:line="380" w:lineRule="exact"/>
              <w:ind w:firstLine="240" w:firstLineChars="100"/>
              <w:rPr>
                <w:rFonts w:ascii="宋体" w:hAnsi="宋体"/>
                <w:bCs/>
                <w:color w:val="000000" w:themeColor="text1"/>
                <w:sz w:val="24"/>
              </w:rPr>
            </w:pPr>
            <w:r>
              <w:rPr>
                <w:rFonts w:hint="eastAsia" w:ascii="宋体" w:hAnsi="宋体"/>
                <w:bCs/>
                <w:color w:val="000000" w:themeColor="text1"/>
                <w:sz w:val="24"/>
              </w:rPr>
              <w:t>序  号</w:t>
            </w:r>
          </w:p>
        </w:tc>
        <w:tc>
          <w:tcPr>
            <w:tcW w:w="3780" w:type="dxa"/>
          </w:tcPr>
          <w:p>
            <w:pPr>
              <w:spacing w:line="380" w:lineRule="exact"/>
              <w:ind w:firstLine="240" w:firstLineChars="100"/>
              <w:rPr>
                <w:rFonts w:ascii="宋体" w:hAnsi="宋体"/>
                <w:bCs/>
                <w:color w:val="000000" w:themeColor="text1"/>
                <w:sz w:val="24"/>
              </w:rPr>
            </w:pPr>
            <w:r>
              <w:rPr>
                <w:rFonts w:hint="eastAsia" w:ascii="宋体" w:hAnsi="宋体"/>
                <w:bCs/>
                <w:color w:val="000000" w:themeColor="text1"/>
                <w:sz w:val="24"/>
              </w:rPr>
              <w:t>招标工作内容</w:t>
            </w:r>
          </w:p>
        </w:tc>
        <w:tc>
          <w:tcPr>
            <w:tcW w:w="4140" w:type="dxa"/>
          </w:tcPr>
          <w:p>
            <w:pPr>
              <w:spacing w:line="380" w:lineRule="exact"/>
              <w:ind w:firstLine="240" w:firstLineChars="100"/>
              <w:rPr>
                <w:rFonts w:ascii="宋体" w:hAnsi="宋体"/>
                <w:bCs/>
                <w:color w:val="000000" w:themeColor="text1"/>
                <w:sz w:val="24"/>
                <w:highlight w:val="yellow"/>
              </w:rPr>
            </w:pPr>
            <w:r>
              <w:rPr>
                <w:rFonts w:hint="eastAsia" w:ascii="宋体" w:hAnsi="宋体"/>
                <w:bCs/>
                <w:color w:val="000000" w:themeColor="text1"/>
                <w:sz w:val="24"/>
                <w:highlight w:val="yellow"/>
              </w:rPr>
              <w:t>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5" w:hRule="atLeast"/>
        </w:trPr>
        <w:tc>
          <w:tcPr>
            <w:tcW w:w="1800" w:type="dxa"/>
          </w:tcPr>
          <w:p>
            <w:pPr>
              <w:spacing w:line="380" w:lineRule="exact"/>
              <w:ind w:firstLine="240" w:firstLineChars="100"/>
              <w:rPr>
                <w:rFonts w:ascii="宋体" w:hAnsi="宋体"/>
                <w:bCs/>
                <w:color w:val="000000" w:themeColor="text1"/>
                <w:sz w:val="24"/>
              </w:rPr>
            </w:pPr>
            <w:r>
              <w:rPr>
                <w:rFonts w:hint="eastAsia" w:ascii="宋体" w:hAnsi="宋体"/>
                <w:bCs/>
                <w:color w:val="000000" w:themeColor="text1"/>
                <w:sz w:val="24"/>
              </w:rPr>
              <w:t>1</w:t>
            </w:r>
          </w:p>
        </w:tc>
        <w:tc>
          <w:tcPr>
            <w:tcW w:w="3780" w:type="dxa"/>
          </w:tcPr>
          <w:p>
            <w:pPr>
              <w:spacing w:line="380" w:lineRule="exact"/>
              <w:ind w:firstLine="240" w:firstLineChars="100"/>
              <w:rPr>
                <w:rFonts w:ascii="宋体" w:hAnsi="宋体"/>
                <w:bCs/>
                <w:color w:val="000000" w:themeColor="text1"/>
                <w:sz w:val="24"/>
              </w:rPr>
            </w:pPr>
            <w:r>
              <w:rPr>
                <w:rFonts w:hint="eastAsia" w:ascii="宋体" w:hAnsi="宋体"/>
                <w:bCs/>
                <w:color w:val="000000" w:themeColor="text1"/>
                <w:sz w:val="24"/>
              </w:rPr>
              <w:t>发放招标文件</w:t>
            </w:r>
          </w:p>
        </w:tc>
        <w:tc>
          <w:tcPr>
            <w:tcW w:w="4140" w:type="dxa"/>
          </w:tcPr>
          <w:p>
            <w:pPr>
              <w:spacing w:line="380" w:lineRule="exact"/>
              <w:ind w:firstLine="240" w:firstLineChars="100"/>
              <w:rPr>
                <w:rFonts w:ascii="宋体" w:hAnsi="宋体"/>
                <w:bCs/>
                <w:color w:val="000000" w:themeColor="text1"/>
                <w:sz w:val="24"/>
                <w:highlight w:val="yellow"/>
              </w:rPr>
            </w:pPr>
            <w:r>
              <w:rPr>
                <w:rFonts w:hint="eastAsia" w:ascii="宋体" w:hAnsi="宋体"/>
                <w:bCs/>
                <w:color w:val="000000" w:themeColor="text1"/>
                <w:sz w:val="24"/>
                <w:highlight w:val="yellow"/>
              </w:rPr>
              <w:t>201</w:t>
            </w:r>
            <w:r>
              <w:rPr>
                <w:rFonts w:ascii="宋体" w:hAnsi="宋体"/>
                <w:bCs/>
                <w:color w:val="000000" w:themeColor="text1"/>
                <w:sz w:val="24"/>
                <w:highlight w:val="yellow"/>
              </w:rPr>
              <w:t>8</w:t>
            </w:r>
            <w:r>
              <w:rPr>
                <w:rFonts w:hint="eastAsia" w:ascii="宋体" w:hAnsi="宋体"/>
                <w:bCs/>
                <w:color w:val="000000" w:themeColor="text1"/>
                <w:sz w:val="24"/>
                <w:highlight w:val="yellow"/>
              </w:rPr>
              <w:t>年</w:t>
            </w:r>
            <w:r>
              <w:rPr>
                <w:rFonts w:ascii="宋体" w:hAnsi="宋体"/>
                <w:bCs/>
                <w:color w:val="000000" w:themeColor="text1"/>
                <w:sz w:val="24"/>
                <w:highlight w:val="yellow"/>
              </w:rPr>
              <w:t>9</w:t>
            </w:r>
            <w:r>
              <w:rPr>
                <w:rFonts w:hint="eastAsia" w:ascii="宋体" w:hAnsi="宋体"/>
                <w:bCs/>
                <w:color w:val="000000" w:themeColor="text1"/>
                <w:sz w:val="24"/>
                <w:highlight w:val="yellow"/>
              </w:rPr>
              <w:t>月2日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trPr>
        <w:tc>
          <w:tcPr>
            <w:tcW w:w="1800" w:type="dxa"/>
          </w:tcPr>
          <w:p>
            <w:pPr>
              <w:spacing w:line="380" w:lineRule="exact"/>
              <w:ind w:firstLine="240" w:firstLineChars="100"/>
              <w:rPr>
                <w:rFonts w:ascii="宋体" w:hAnsi="宋体"/>
                <w:bCs/>
                <w:color w:val="000000" w:themeColor="text1"/>
                <w:sz w:val="24"/>
              </w:rPr>
            </w:pPr>
            <w:r>
              <w:rPr>
                <w:rFonts w:hint="eastAsia" w:ascii="宋体" w:hAnsi="宋体"/>
                <w:bCs/>
                <w:color w:val="000000" w:themeColor="text1"/>
                <w:sz w:val="24"/>
              </w:rPr>
              <w:t>2</w:t>
            </w:r>
          </w:p>
        </w:tc>
        <w:tc>
          <w:tcPr>
            <w:tcW w:w="3780" w:type="dxa"/>
          </w:tcPr>
          <w:p>
            <w:pPr>
              <w:spacing w:line="380" w:lineRule="exact"/>
              <w:ind w:firstLine="240" w:firstLineChars="100"/>
              <w:rPr>
                <w:rFonts w:ascii="宋体" w:hAnsi="宋体"/>
                <w:bCs/>
                <w:color w:val="000000" w:themeColor="text1"/>
                <w:sz w:val="24"/>
              </w:rPr>
            </w:pPr>
            <w:r>
              <w:rPr>
                <w:rFonts w:hint="eastAsia" w:ascii="宋体" w:hAnsi="宋体"/>
                <w:bCs/>
                <w:color w:val="000000" w:themeColor="text1"/>
                <w:sz w:val="24"/>
              </w:rPr>
              <w:t>勘察现场</w:t>
            </w:r>
          </w:p>
        </w:tc>
        <w:tc>
          <w:tcPr>
            <w:tcW w:w="4140" w:type="dxa"/>
          </w:tcPr>
          <w:p>
            <w:pPr>
              <w:spacing w:line="380" w:lineRule="exact"/>
              <w:ind w:firstLine="240" w:firstLineChars="100"/>
              <w:rPr>
                <w:rFonts w:ascii="宋体" w:hAnsi="宋体"/>
                <w:bCs/>
                <w:color w:val="000000" w:themeColor="text1"/>
                <w:sz w:val="24"/>
                <w:highlight w:val="yellow"/>
              </w:rPr>
            </w:pPr>
            <w:r>
              <w:rPr>
                <w:rFonts w:hint="eastAsia" w:ascii="宋体" w:hAnsi="宋体"/>
                <w:bCs/>
                <w:color w:val="000000" w:themeColor="text1"/>
                <w:sz w:val="24"/>
                <w:highlight w:val="yellow"/>
              </w:rPr>
              <w:t>由各投标方自行勘察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trPr>
        <w:tc>
          <w:tcPr>
            <w:tcW w:w="1800" w:type="dxa"/>
          </w:tcPr>
          <w:p>
            <w:pPr>
              <w:spacing w:line="380" w:lineRule="exact"/>
              <w:ind w:firstLine="240" w:firstLineChars="100"/>
              <w:rPr>
                <w:rFonts w:ascii="宋体" w:hAnsi="宋体"/>
                <w:bCs/>
                <w:color w:val="000000" w:themeColor="text1"/>
                <w:sz w:val="24"/>
              </w:rPr>
            </w:pPr>
            <w:r>
              <w:rPr>
                <w:rFonts w:hint="eastAsia" w:ascii="宋体" w:hAnsi="宋体"/>
                <w:bCs/>
                <w:color w:val="000000" w:themeColor="text1"/>
                <w:sz w:val="24"/>
              </w:rPr>
              <w:t>3</w:t>
            </w:r>
          </w:p>
        </w:tc>
        <w:tc>
          <w:tcPr>
            <w:tcW w:w="3780" w:type="dxa"/>
          </w:tcPr>
          <w:p>
            <w:pPr>
              <w:spacing w:line="380" w:lineRule="exact"/>
              <w:ind w:firstLine="240" w:firstLineChars="100"/>
              <w:rPr>
                <w:rFonts w:ascii="宋体" w:hAnsi="宋体"/>
                <w:bCs/>
                <w:color w:val="000000" w:themeColor="text1"/>
                <w:sz w:val="24"/>
              </w:rPr>
            </w:pPr>
            <w:r>
              <w:rPr>
                <w:rFonts w:hint="eastAsia" w:ascii="宋体" w:hAnsi="宋体"/>
                <w:bCs/>
                <w:color w:val="000000" w:themeColor="text1"/>
                <w:sz w:val="24"/>
              </w:rPr>
              <w:t>第一次投标截止</w:t>
            </w:r>
          </w:p>
        </w:tc>
        <w:tc>
          <w:tcPr>
            <w:tcW w:w="4140" w:type="dxa"/>
          </w:tcPr>
          <w:p>
            <w:pPr>
              <w:spacing w:line="380" w:lineRule="exact"/>
              <w:ind w:firstLine="240" w:firstLineChars="100"/>
              <w:rPr>
                <w:rFonts w:ascii="宋体" w:hAnsi="宋体"/>
                <w:bCs/>
                <w:color w:val="000000" w:themeColor="text1"/>
                <w:sz w:val="24"/>
                <w:highlight w:val="yellow"/>
              </w:rPr>
            </w:pPr>
            <w:r>
              <w:rPr>
                <w:rFonts w:hint="eastAsia" w:ascii="宋体" w:hAnsi="宋体"/>
                <w:bCs/>
                <w:color w:val="000000" w:themeColor="text1"/>
                <w:sz w:val="24"/>
                <w:highlight w:val="yellow"/>
              </w:rPr>
              <w:t>201</w:t>
            </w:r>
            <w:r>
              <w:rPr>
                <w:rFonts w:ascii="宋体" w:hAnsi="宋体"/>
                <w:bCs/>
                <w:color w:val="000000" w:themeColor="text1"/>
                <w:sz w:val="24"/>
                <w:highlight w:val="yellow"/>
              </w:rPr>
              <w:t>8</w:t>
            </w:r>
            <w:r>
              <w:rPr>
                <w:rFonts w:hint="eastAsia" w:ascii="宋体" w:hAnsi="宋体"/>
                <w:bCs/>
                <w:color w:val="000000" w:themeColor="text1"/>
                <w:sz w:val="24"/>
                <w:highlight w:val="yellow"/>
              </w:rPr>
              <w:t>年</w:t>
            </w:r>
            <w:r>
              <w:rPr>
                <w:rFonts w:ascii="宋体" w:hAnsi="宋体"/>
                <w:bCs/>
                <w:color w:val="000000" w:themeColor="text1"/>
                <w:sz w:val="24"/>
                <w:highlight w:val="yellow"/>
              </w:rPr>
              <w:t>9</w:t>
            </w:r>
            <w:r>
              <w:rPr>
                <w:rFonts w:hint="eastAsia" w:ascii="宋体" w:hAnsi="宋体"/>
                <w:bCs/>
                <w:color w:val="000000" w:themeColor="text1"/>
                <w:sz w:val="24"/>
                <w:highlight w:val="yellow"/>
              </w:rPr>
              <w:t>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1800" w:type="dxa"/>
          </w:tcPr>
          <w:p>
            <w:pPr>
              <w:spacing w:line="380" w:lineRule="exact"/>
              <w:ind w:firstLine="240" w:firstLineChars="100"/>
              <w:rPr>
                <w:rFonts w:ascii="宋体" w:hAnsi="宋体"/>
                <w:bCs/>
                <w:color w:val="000000" w:themeColor="text1"/>
                <w:sz w:val="24"/>
              </w:rPr>
            </w:pPr>
            <w:r>
              <w:rPr>
                <w:rFonts w:hint="eastAsia" w:ascii="宋体" w:hAnsi="宋体"/>
                <w:bCs/>
                <w:color w:val="000000" w:themeColor="text1"/>
                <w:sz w:val="24"/>
              </w:rPr>
              <w:t>4</w:t>
            </w:r>
          </w:p>
        </w:tc>
        <w:tc>
          <w:tcPr>
            <w:tcW w:w="3780" w:type="dxa"/>
          </w:tcPr>
          <w:p>
            <w:pPr>
              <w:spacing w:line="380" w:lineRule="exact"/>
              <w:ind w:firstLine="240" w:firstLineChars="100"/>
              <w:rPr>
                <w:rFonts w:ascii="宋体" w:hAnsi="宋体"/>
                <w:bCs/>
                <w:color w:val="000000" w:themeColor="text1"/>
                <w:sz w:val="24"/>
              </w:rPr>
            </w:pPr>
            <w:r>
              <w:rPr>
                <w:rFonts w:hint="eastAsia" w:ascii="宋体" w:hAnsi="宋体"/>
                <w:bCs/>
                <w:color w:val="000000" w:themeColor="text1"/>
                <w:sz w:val="24"/>
              </w:rPr>
              <w:t>开标</w:t>
            </w:r>
          </w:p>
        </w:tc>
        <w:tc>
          <w:tcPr>
            <w:tcW w:w="4140" w:type="dxa"/>
          </w:tcPr>
          <w:p>
            <w:pPr>
              <w:spacing w:line="380" w:lineRule="exact"/>
              <w:ind w:firstLine="240" w:firstLineChars="100"/>
              <w:rPr>
                <w:rFonts w:ascii="宋体" w:hAnsi="宋体"/>
                <w:bCs/>
                <w:color w:val="000000" w:themeColor="text1"/>
                <w:sz w:val="24"/>
                <w:highlight w:val="yellow"/>
              </w:rPr>
            </w:pPr>
            <w:r>
              <w:rPr>
                <w:rFonts w:hint="eastAsia" w:ascii="宋体" w:hAnsi="宋体"/>
                <w:bCs/>
                <w:color w:val="000000" w:themeColor="text1"/>
                <w:sz w:val="24"/>
                <w:highlight w:val="yellow"/>
              </w:rPr>
              <w:t>201</w:t>
            </w:r>
            <w:r>
              <w:rPr>
                <w:rFonts w:ascii="宋体" w:hAnsi="宋体"/>
                <w:bCs/>
                <w:color w:val="000000" w:themeColor="text1"/>
                <w:sz w:val="24"/>
                <w:highlight w:val="yellow"/>
              </w:rPr>
              <w:t>8</w:t>
            </w:r>
            <w:r>
              <w:rPr>
                <w:rFonts w:hint="eastAsia" w:ascii="宋体" w:hAnsi="宋体"/>
                <w:bCs/>
                <w:color w:val="000000" w:themeColor="text1"/>
                <w:sz w:val="24"/>
                <w:highlight w:val="yellow"/>
              </w:rPr>
              <w:t>年</w:t>
            </w:r>
            <w:r>
              <w:rPr>
                <w:rFonts w:ascii="宋体" w:hAnsi="宋体"/>
                <w:bCs/>
                <w:color w:val="000000" w:themeColor="text1"/>
                <w:sz w:val="24"/>
                <w:highlight w:val="yellow"/>
              </w:rPr>
              <w:t>9</w:t>
            </w:r>
            <w:r>
              <w:rPr>
                <w:rFonts w:hint="eastAsia" w:ascii="宋体" w:hAnsi="宋体"/>
                <w:bCs/>
                <w:color w:val="000000" w:themeColor="text1"/>
                <w:sz w:val="24"/>
                <w:highlight w:val="yellow"/>
              </w:rPr>
              <w:t>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5" w:hRule="atLeast"/>
        </w:trPr>
        <w:tc>
          <w:tcPr>
            <w:tcW w:w="1800" w:type="dxa"/>
          </w:tcPr>
          <w:p>
            <w:pPr>
              <w:spacing w:line="380" w:lineRule="exact"/>
              <w:ind w:firstLine="240" w:firstLineChars="100"/>
              <w:rPr>
                <w:rFonts w:ascii="宋体" w:hAnsi="宋体"/>
                <w:bCs/>
                <w:color w:val="000000" w:themeColor="text1"/>
                <w:sz w:val="24"/>
                <w:highlight w:val="yellow"/>
              </w:rPr>
            </w:pPr>
            <w:r>
              <w:rPr>
                <w:rFonts w:hint="eastAsia" w:ascii="宋体" w:hAnsi="宋体"/>
                <w:bCs/>
                <w:color w:val="000000" w:themeColor="text1"/>
                <w:sz w:val="24"/>
                <w:highlight w:val="yellow"/>
              </w:rPr>
              <w:t>5</w:t>
            </w:r>
          </w:p>
        </w:tc>
        <w:tc>
          <w:tcPr>
            <w:tcW w:w="3780" w:type="dxa"/>
          </w:tcPr>
          <w:p>
            <w:pPr>
              <w:spacing w:line="380" w:lineRule="exact"/>
              <w:ind w:firstLine="240" w:firstLineChars="100"/>
              <w:rPr>
                <w:rFonts w:ascii="宋体" w:hAnsi="宋体"/>
                <w:bCs/>
                <w:color w:val="000000" w:themeColor="text1"/>
                <w:sz w:val="24"/>
                <w:highlight w:val="yellow"/>
              </w:rPr>
            </w:pPr>
            <w:r>
              <w:rPr>
                <w:rFonts w:hint="eastAsia" w:ascii="宋体" w:hAnsi="宋体"/>
                <w:bCs/>
                <w:color w:val="000000" w:themeColor="text1"/>
                <w:sz w:val="24"/>
                <w:highlight w:val="yellow"/>
              </w:rPr>
              <w:t>约谈</w:t>
            </w:r>
          </w:p>
        </w:tc>
        <w:tc>
          <w:tcPr>
            <w:tcW w:w="4140" w:type="dxa"/>
          </w:tcPr>
          <w:p>
            <w:pPr>
              <w:spacing w:line="380" w:lineRule="exact"/>
              <w:ind w:firstLine="240" w:firstLineChars="100"/>
              <w:rPr>
                <w:rFonts w:ascii="宋体" w:hAnsi="宋体"/>
                <w:bCs/>
                <w:color w:val="000000" w:themeColor="text1"/>
                <w:sz w:val="24"/>
                <w:highlight w:val="yellow"/>
              </w:rPr>
            </w:pPr>
            <w:r>
              <w:rPr>
                <w:rFonts w:hint="eastAsia" w:ascii="宋体" w:hAnsi="宋体"/>
                <w:bCs/>
                <w:color w:val="000000" w:themeColor="text1"/>
                <w:sz w:val="24"/>
                <w:highlight w:val="yellow"/>
              </w:rPr>
              <w:t>201</w:t>
            </w:r>
            <w:r>
              <w:rPr>
                <w:rFonts w:ascii="宋体" w:hAnsi="宋体"/>
                <w:bCs/>
                <w:color w:val="000000" w:themeColor="text1"/>
                <w:sz w:val="24"/>
                <w:highlight w:val="yellow"/>
              </w:rPr>
              <w:t>8</w:t>
            </w:r>
            <w:r>
              <w:rPr>
                <w:rFonts w:hint="eastAsia" w:ascii="宋体" w:hAnsi="宋体"/>
                <w:bCs/>
                <w:color w:val="000000" w:themeColor="text1"/>
                <w:sz w:val="24"/>
                <w:highlight w:val="yellow"/>
              </w:rPr>
              <w:t>年</w:t>
            </w:r>
            <w:r>
              <w:rPr>
                <w:rFonts w:ascii="宋体" w:hAnsi="宋体"/>
                <w:bCs/>
                <w:color w:val="000000" w:themeColor="text1"/>
                <w:sz w:val="24"/>
                <w:highlight w:val="yellow"/>
              </w:rPr>
              <w:t>9</w:t>
            </w:r>
            <w:r>
              <w:rPr>
                <w:rFonts w:hint="eastAsia" w:ascii="宋体" w:hAnsi="宋体"/>
                <w:bCs/>
                <w:color w:val="000000" w:themeColor="text1"/>
                <w:sz w:val="24"/>
                <w:highlight w:val="yellow"/>
              </w:rPr>
              <w:t>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5" w:hRule="atLeast"/>
        </w:trPr>
        <w:tc>
          <w:tcPr>
            <w:tcW w:w="1800" w:type="dxa"/>
          </w:tcPr>
          <w:p>
            <w:pPr>
              <w:spacing w:line="380" w:lineRule="exact"/>
              <w:ind w:firstLine="240" w:firstLineChars="100"/>
              <w:rPr>
                <w:rFonts w:ascii="宋体" w:hAnsi="宋体"/>
                <w:bCs/>
                <w:color w:val="000000" w:themeColor="text1"/>
                <w:sz w:val="24"/>
                <w:highlight w:val="yellow"/>
              </w:rPr>
            </w:pPr>
            <w:r>
              <w:rPr>
                <w:rFonts w:hint="eastAsia" w:ascii="宋体" w:hAnsi="宋体"/>
                <w:bCs/>
                <w:color w:val="000000" w:themeColor="text1"/>
                <w:sz w:val="24"/>
                <w:highlight w:val="yellow"/>
              </w:rPr>
              <w:t>6</w:t>
            </w:r>
          </w:p>
        </w:tc>
        <w:tc>
          <w:tcPr>
            <w:tcW w:w="3780" w:type="dxa"/>
          </w:tcPr>
          <w:p>
            <w:pPr>
              <w:spacing w:line="380" w:lineRule="exact"/>
              <w:ind w:firstLine="240" w:firstLineChars="100"/>
              <w:rPr>
                <w:rFonts w:ascii="宋体" w:hAnsi="宋体"/>
                <w:bCs/>
                <w:color w:val="000000" w:themeColor="text1"/>
                <w:sz w:val="24"/>
                <w:highlight w:val="yellow"/>
              </w:rPr>
            </w:pPr>
            <w:r>
              <w:rPr>
                <w:rFonts w:hint="eastAsia" w:ascii="宋体" w:hAnsi="宋体"/>
                <w:bCs/>
                <w:color w:val="000000" w:themeColor="text1"/>
                <w:sz w:val="24"/>
                <w:highlight w:val="yellow"/>
              </w:rPr>
              <w:t>第二次投标截止</w:t>
            </w:r>
          </w:p>
        </w:tc>
        <w:tc>
          <w:tcPr>
            <w:tcW w:w="4140" w:type="dxa"/>
          </w:tcPr>
          <w:p>
            <w:pPr>
              <w:spacing w:line="380" w:lineRule="exact"/>
              <w:ind w:firstLine="240" w:firstLineChars="100"/>
              <w:rPr>
                <w:rFonts w:ascii="宋体" w:hAnsi="宋体"/>
                <w:bCs/>
                <w:color w:val="000000" w:themeColor="text1"/>
                <w:sz w:val="24"/>
                <w:highlight w:val="yellow"/>
              </w:rPr>
            </w:pPr>
            <w:r>
              <w:rPr>
                <w:rFonts w:hint="eastAsia" w:ascii="宋体" w:hAnsi="宋体"/>
                <w:bCs/>
                <w:color w:val="000000" w:themeColor="text1"/>
                <w:sz w:val="24"/>
                <w:highlight w:val="yellow"/>
              </w:rPr>
              <w:t>201</w:t>
            </w:r>
            <w:r>
              <w:rPr>
                <w:rFonts w:ascii="宋体" w:hAnsi="宋体"/>
                <w:bCs/>
                <w:color w:val="000000" w:themeColor="text1"/>
                <w:sz w:val="24"/>
                <w:highlight w:val="yellow"/>
              </w:rPr>
              <w:t>8</w:t>
            </w:r>
            <w:r>
              <w:rPr>
                <w:rFonts w:hint="eastAsia" w:ascii="宋体" w:hAnsi="宋体"/>
                <w:bCs/>
                <w:color w:val="000000" w:themeColor="text1"/>
                <w:sz w:val="24"/>
                <w:highlight w:val="yellow"/>
              </w:rPr>
              <w:t>年</w:t>
            </w:r>
            <w:r>
              <w:rPr>
                <w:rFonts w:ascii="宋体" w:hAnsi="宋体"/>
                <w:bCs/>
                <w:color w:val="000000" w:themeColor="text1"/>
                <w:sz w:val="24"/>
                <w:highlight w:val="yellow"/>
              </w:rPr>
              <w:t>9</w:t>
            </w:r>
            <w:r>
              <w:rPr>
                <w:rFonts w:hint="eastAsia" w:ascii="宋体" w:hAnsi="宋体"/>
                <w:bCs/>
                <w:color w:val="000000" w:themeColor="text1"/>
                <w:sz w:val="24"/>
                <w:highlight w:val="yellow"/>
              </w:rPr>
              <w:t>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5" w:hRule="atLeast"/>
        </w:trPr>
        <w:tc>
          <w:tcPr>
            <w:tcW w:w="1800" w:type="dxa"/>
          </w:tcPr>
          <w:p>
            <w:pPr>
              <w:spacing w:line="380" w:lineRule="exact"/>
              <w:ind w:firstLine="240" w:firstLineChars="100"/>
              <w:rPr>
                <w:rFonts w:ascii="宋体" w:hAnsi="宋体"/>
                <w:bCs/>
                <w:color w:val="000000" w:themeColor="text1"/>
                <w:sz w:val="24"/>
              </w:rPr>
            </w:pPr>
            <w:r>
              <w:rPr>
                <w:rFonts w:hint="eastAsia" w:ascii="宋体" w:hAnsi="宋体"/>
                <w:bCs/>
                <w:color w:val="000000" w:themeColor="text1"/>
                <w:sz w:val="24"/>
              </w:rPr>
              <w:t>7</w:t>
            </w:r>
          </w:p>
        </w:tc>
        <w:tc>
          <w:tcPr>
            <w:tcW w:w="3780" w:type="dxa"/>
          </w:tcPr>
          <w:p>
            <w:pPr>
              <w:spacing w:line="380" w:lineRule="exact"/>
              <w:ind w:firstLine="240" w:firstLineChars="100"/>
              <w:rPr>
                <w:rFonts w:ascii="宋体" w:hAnsi="宋体"/>
                <w:bCs/>
                <w:color w:val="000000" w:themeColor="text1"/>
                <w:sz w:val="24"/>
              </w:rPr>
            </w:pPr>
            <w:r>
              <w:rPr>
                <w:rFonts w:hint="eastAsia" w:ascii="宋体" w:hAnsi="宋体"/>
                <w:bCs/>
                <w:color w:val="000000" w:themeColor="text1"/>
                <w:sz w:val="24"/>
              </w:rPr>
              <w:t>评标、定标</w:t>
            </w:r>
          </w:p>
        </w:tc>
        <w:tc>
          <w:tcPr>
            <w:tcW w:w="4140" w:type="dxa"/>
          </w:tcPr>
          <w:p>
            <w:pPr>
              <w:spacing w:line="380" w:lineRule="exact"/>
              <w:ind w:firstLine="240" w:firstLineChars="100"/>
              <w:rPr>
                <w:rFonts w:ascii="宋体" w:hAnsi="宋体"/>
                <w:bCs/>
                <w:color w:val="000000" w:themeColor="text1"/>
                <w:sz w:val="24"/>
                <w:highlight w:val="yellow"/>
              </w:rPr>
            </w:pPr>
            <w:r>
              <w:rPr>
                <w:rFonts w:hint="eastAsia" w:ascii="宋体" w:hAnsi="宋体"/>
                <w:bCs/>
                <w:color w:val="000000" w:themeColor="text1"/>
                <w:sz w:val="24"/>
                <w:highlight w:val="yellow"/>
              </w:rPr>
              <w:t>201</w:t>
            </w:r>
            <w:r>
              <w:rPr>
                <w:rFonts w:ascii="宋体" w:hAnsi="宋体"/>
                <w:bCs/>
                <w:color w:val="000000" w:themeColor="text1"/>
                <w:sz w:val="24"/>
                <w:highlight w:val="yellow"/>
              </w:rPr>
              <w:t>8</w:t>
            </w:r>
            <w:r>
              <w:rPr>
                <w:rFonts w:hint="eastAsia" w:ascii="宋体" w:hAnsi="宋体"/>
                <w:bCs/>
                <w:color w:val="000000" w:themeColor="text1"/>
                <w:sz w:val="24"/>
                <w:highlight w:val="yellow"/>
              </w:rPr>
              <w:t>年</w:t>
            </w:r>
            <w:r>
              <w:rPr>
                <w:rFonts w:ascii="宋体" w:hAnsi="宋体"/>
                <w:bCs/>
                <w:color w:val="000000" w:themeColor="text1"/>
                <w:sz w:val="24"/>
                <w:highlight w:val="yellow"/>
              </w:rPr>
              <w:t>9</w:t>
            </w:r>
            <w:r>
              <w:rPr>
                <w:rFonts w:hint="eastAsia" w:ascii="宋体" w:hAnsi="宋体"/>
                <w:bCs/>
                <w:color w:val="000000" w:themeColor="text1"/>
                <w:sz w:val="24"/>
                <w:highlight w:val="yellow"/>
              </w:rPr>
              <w:t>月20日</w:t>
            </w:r>
          </w:p>
        </w:tc>
      </w:tr>
    </w:tbl>
    <w:p/>
    <w:p>
      <w:pPr>
        <w:pStyle w:val="2"/>
        <w:spacing w:line="360" w:lineRule="auto"/>
        <w:rPr>
          <w:rFonts w:ascii="宋体" w:hAnsi="宋体" w:eastAsia="宋体"/>
          <w:bCs w:val="0"/>
          <w:color w:val="000000" w:themeColor="text1"/>
          <w:szCs w:val="32"/>
        </w:rPr>
      </w:pPr>
      <w:bookmarkStart w:id="6" w:name="_Toc513258860"/>
      <w:bookmarkStart w:id="7" w:name="_Toc513187766"/>
      <w:bookmarkStart w:id="8" w:name="_Toc513187687"/>
      <w:bookmarkStart w:id="9" w:name="_Toc55051389"/>
      <w:bookmarkStart w:id="10" w:name="_Toc34472826"/>
      <w:bookmarkStart w:id="11" w:name="_Toc513187719"/>
      <w:bookmarkStart w:id="12" w:name="_Toc233622071"/>
      <w:bookmarkStart w:id="13" w:name="_Toc36265814"/>
      <w:bookmarkStart w:id="14" w:name="_Toc36265864"/>
      <w:r>
        <w:rPr>
          <w:rFonts w:hint="eastAsia" w:ascii="宋体" w:hAnsi="宋体" w:eastAsia="宋体"/>
          <w:bCs w:val="0"/>
          <w:color w:val="000000" w:themeColor="text1"/>
          <w:szCs w:val="32"/>
        </w:rPr>
        <w:t>第二章  工程信息</w:t>
      </w:r>
      <w:bookmarkEnd w:id="6"/>
      <w:bookmarkEnd w:id="7"/>
      <w:bookmarkEnd w:id="8"/>
      <w:bookmarkEnd w:id="9"/>
      <w:bookmarkEnd w:id="10"/>
      <w:bookmarkEnd w:id="11"/>
      <w:bookmarkEnd w:id="12"/>
      <w:bookmarkEnd w:id="13"/>
      <w:bookmarkEnd w:id="14"/>
    </w:p>
    <w:p>
      <w:pPr>
        <w:numPr>
          <w:ilvl w:val="0"/>
          <w:numId w:val="2"/>
        </w:numPr>
        <w:tabs>
          <w:tab w:val="clear" w:pos="425"/>
        </w:tabs>
        <w:spacing w:line="360" w:lineRule="auto"/>
        <w:outlineLvl w:val="2"/>
        <w:rPr>
          <w:rFonts w:ascii="宋体" w:hAnsi="宋体" w:cs="宋体"/>
          <w:b/>
          <w:color w:val="000000" w:themeColor="text1"/>
          <w:kern w:val="0"/>
          <w:sz w:val="24"/>
        </w:rPr>
      </w:pPr>
      <w:bookmarkStart w:id="15" w:name="_Toc233622072"/>
      <w:r>
        <w:rPr>
          <w:rFonts w:hint="eastAsia" w:ascii="宋体" w:hAnsi="宋体" w:cs="宋体"/>
          <w:b/>
          <w:color w:val="000000" w:themeColor="text1"/>
          <w:kern w:val="0"/>
          <w:sz w:val="24"/>
        </w:rPr>
        <w:t>工程概况</w:t>
      </w:r>
    </w:p>
    <w:p>
      <w:pPr>
        <w:spacing w:line="380" w:lineRule="exact"/>
        <w:ind w:firstLine="240" w:firstLineChars="100"/>
        <w:rPr>
          <w:rFonts w:ascii="宋体" w:hAnsi="宋体"/>
          <w:bCs/>
          <w:color w:val="000000" w:themeColor="text1"/>
          <w:sz w:val="24"/>
        </w:rPr>
      </w:pPr>
      <w:r>
        <w:rPr>
          <w:rFonts w:hint="eastAsia" w:ascii="宋体" w:hAnsi="宋体"/>
          <w:bCs/>
          <w:color w:val="000000" w:themeColor="text1"/>
          <w:sz w:val="24"/>
        </w:rPr>
        <w:t>建设单位：福建三农新材料有限责任公司</w:t>
      </w:r>
    </w:p>
    <w:p>
      <w:pPr>
        <w:spacing w:line="380" w:lineRule="exact"/>
        <w:ind w:left="239" w:leftChars="114"/>
        <w:rPr>
          <w:rFonts w:ascii="宋体" w:hAnsi="宋体"/>
          <w:bCs/>
          <w:color w:val="000000" w:themeColor="text1"/>
          <w:sz w:val="24"/>
        </w:rPr>
      </w:pPr>
      <w:r>
        <w:rPr>
          <w:rFonts w:hint="eastAsia" w:ascii="宋体" w:hAnsi="宋体"/>
          <w:bCs/>
          <w:color w:val="000000" w:themeColor="text1"/>
          <w:sz w:val="24"/>
        </w:rPr>
        <w:t>建设地点：本项目位</w:t>
      </w:r>
      <w:permStart w:id="1" w:edGrp="everyone"/>
      <w:r>
        <w:rPr>
          <w:rFonts w:hint="eastAsia" w:ascii="宋体" w:hAnsi="宋体"/>
          <w:bCs/>
          <w:color w:val="000000" w:themeColor="text1"/>
          <w:sz w:val="24"/>
        </w:rPr>
        <w:t>于福建三明市三元区黄砂工业园</w:t>
      </w:r>
      <w:permEnd w:id="1"/>
    </w:p>
    <w:p>
      <w:pPr>
        <w:spacing w:line="360" w:lineRule="auto"/>
        <w:ind w:firstLine="283" w:firstLineChars="118"/>
        <w:rPr>
          <w:rFonts w:ascii="宋体" w:hAnsi="宋体"/>
          <w:bCs/>
          <w:color w:val="000000" w:themeColor="text1"/>
          <w:sz w:val="24"/>
        </w:rPr>
      </w:pPr>
      <w:r>
        <w:rPr>
          <w:rFonts w:hint="eastAsia" w:ascii="宋体" w:hAnsi="宋体"/>
          <w:bCs/>
          <w:color w:val="000000" w:themeColor="text1"/>
          <w:sz w:val="24"/>
        </w:rPr>
        <w:t>建筑面积：</w:t>
      </w:r>
      <w:permStart w:id="2" w:edGrp="everyone"/>
      <w:r>
        <w:rPr>
          <w:rFonts w:hint="eastAsia" w:ascii="宋体" w:hAnsi="宋体"/>
          <w:bCs/>
          <w:color w:val="000000" w:themeColor="text1"/>
          <w:sz w:val="24"/>
        </w:rPr>
        <w:t>面积约</w:t>
      </w:r>
      <w:r>
        <w:rPr>
          <w:rFonts w:ascii="宋体" w:hAnsi="宋体"/>
          <w:bCs/>
          <w:color w:val="000000" w:themeColor="text1"/>
          <w:sz w:val="24"/>
        </w:rPr>
        <w:t>21.26</w:t>
      </w:r>
      <w:r>
        <w:rPr>
          <w:rFonts w:hint="eastAsia" w:ascii="宋体" w:hAnsi="宋体"/>
          <w:bCs/>
          <w:color w:val="000000" w:themeColor="text1"/>
          <w:sz w:val="24"/>
        </w:rPr>
        <w:t>㎡。）</w:t>
      </w:r>
      <w:permEnd w:id="2"/>
    </w:p>
    <w:p>
      <w:pPr>
        <w:numPr>
          <w:ilvl w:val="0"/>
          <w:numId w:val="2"/>
        </w:numPr>
        <w:tabs>
          <w:tab w:val="clear" w:pos="425"/>
        </w:tabs>
        <w:spacing w:line="360" w:lineRule="auto"/>
        <w:outlineLvl w:val="2"/>
        <w:rPr>
          <w:rFonts w:ascii="宋体" w:hAnsi="宋体"/>
          <w:bCs/>
          <w:color w:val="000000" w:themeColor="text1"/>
          <w:sz w:val="24"/>
        </w:rPr>
      </w:pPr>
      <w:r>
        <w:rPr>
          <w:rFonts w:hint="eastAsia" w:ascii="宋体" w:hAnsi="宋体"/>
          <w:bCs/>
          <w:color w:val="000000" w:themeColor="text1"/>
          <w:sz w:val="24"/>
        </w:rPr>
        <w:t>招标范围及招标内容</w:t>
      </w:r>
    </w:p>
    <w:p>
      <w:pPr>
        <w:numPr>
          <w:ilvl w:val="1"/>
          <w:numId w:val="2"/>
        </w:numPr>
        <w:tabs>
          <w:tab w:val="left" w:pos="426"/>
          <w:tab w:val="left" w:pos="567"/>
        </w:tabs>
        <w:spacing w:line="360" w:lineRule="auto"/>
        <w:rPr>
          <w:rFonts w:ascii="宋体" w:hAnsi="宋体"/>
          <w:color w:val="000000" w:themeColor="text1"/>
          <w:sz w:val="24"/>
        </w:rPr>
      </w:pPr>
      <w:r>
        <w:rPr>
          <w:rFonts w:hint="eastAsia" w:ascii="宋体" w:hAnsi="宋体"/>
          <w:color w:val="000000" w:themeColor="text1"/>
          <w:sz w:val="24"/>
        </w:rPr>
        <w:t>招标范围及详细施工界面为：  详见招标文件第二部分“合同文件”中《</w:t>
      </w:r>
      <w:bookmarkStart w:id="16" w:name="_Hlk523820986"/>
      <w:r>
        <w:rPr>
          <w:rFonts w:hint="eastAsia" w:ascii="宋体" w:hAnsi="宋体"/>
          <w:color w:val="000000" w:themeColor="text1"/>
          <w:sz w:val="24"/>
        </w:rPr>
        <w:t>承包范围及工作内容</w:t>
      </w:r>
      <w:bookmarkEnd w:id="16"/>
      <w:r>
        <w:rPr>
          <w:rFonts w:hint="eastAsia" w:ascii="宋体" w:hAnsi="宋体"/>
          <w:color w:val="000000" w:themeColor="text1"/>
          <w:sz w:val="24"/>
        </w:rPr>
        <w:t xml:space="preserve">》的约定。  </w:t>
      </w:r>
    </w:p>
    <w:p>
      <w:pPr>
        <w:numPr>
          <w:ilvl w:val="1"/>
          <w:numId w:val="2"/>
        </w:numPr>
        <w:tabs>
          <w:tab w:val="left" w:pos="567"/>
          <w:tab w:val="left" w:pos="709"/>
        </w:tabs>
        <w:spacing w:line="360" w:lineRule="auto"/>
        <w:outlineLvl w:val="2"/>
        <w:rPr>
          <w:rFonts w:ascii="宋体" w:hAnsi="宋体"/>
          <w:color w:val="000000" w:themeColor="text1"/>
          <w:sz w:val="24"/>
        </w:rPr>
      </w:pPr>
      <w:r>
        <w:rPr>
          <w:rFonts w:hint="eastAsia" w:ascii="宋体" w:hAnsi="宋体"/>
          <w:color w:val="000000" w:themeColor="text1"/>
          <w:sz w:val="24"/>
        </w:rPr>
        <w:t>开办费、工程规范及技术要求为：招标文件第二部分“合同文件”中《开办费》和《工程规范及技术要求》的约定。</w:t>
      </w:r>
    </w:p>
    <w:p>
      <w:pPr>
        <w:numPr>
          <w:ilvl w:val="0"/>
          <w:numId w:val="2"/>
        </w:numPr>
        <w:tabs>
          <w:tab w:val="clear" w:pos="425"/>
        </w:tabs>
        <w:spacing w:line="360" w:lineRule="auto"/>
        <w:outlineLvl w:val="2"/>
        <w:rPr>
          <w:rFonts w:ascii="宋体" w:hAnsi="宋体" w:cs="宋体"/>
          <w:b/>
          <w:color w:val="000000" w:themeColor="text1"/>
          <w:kern w:val="0"/>
          <w:sz w:val="24"/>
        </w:rPr>
      </w:pPr>
      <w:r>
        <w:rPr>
          <w:rFonts w:hint="eastAsia" w:ascii="宋体" w:hAnsi="宋体" w:cs="宋体"/>
          <w:b/>
          <w:color w:val="000000" w:themeColor="text1"/>
          <w:kern w:val="0"/>
          <w:sz w:val="24"/>
        </w:rPr>
        <w:t xml:space="preserve">工程期限  </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开工时间：以甲方通知项</w:t>
      </w:r>
      <w:r>
        <w:rPr>
          <w:rFonts w:hint="eastAsia" w:ascii="宋体" w:hAnsi="宋体"/>
          <w:sz w:val="28"/>
          <w:szCs w:val="28"/>
        </w:rPr>
        <w:t>目部出具的书面开工通知为准</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竣工时间：</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日历工期：</w:t>
      </w:r>
      <w:permStart w:id="3" w:edGrp="everyone"/>
      <w:r>
        <w:rPr>
          <w:rFonts w:ascii="宋体" w:hAnsi="宋体"/>
          <w:b/>
          <w:sz w:val="24"/>
          <w:u w:val="single"/>
        </w:rPr>
        <w:t>3</w:t>
      </w:r>
      <w:r>
        <w:rPr>
          <w:rFonts w:hint="eastAsia" w:ascii="宋体" w:hAnsi="宋体"/>
          <w:b/>
          <w:sz w:val="24"/>
          <w:u w:val="single"/>
        </w:rPr>
        <w:t>0</w:t>
      </w:r>
      <w:permEnd w:id="3"/>
      <w:r>
        <w:rPr>
          <w:rFonts w:hint="eastAsia" w:ascii="宋体" w:hAnsi="宋体"/>
          <w:color w:val="000000" w:themeColor="text1"/>
          <w:sz w:val="24"/>
        </w:rPr>
        <w:t>天。</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阶段工期要求：</w:t>
      </w:r>
      <w:permStart w:id="4" w:edGrp="everyone"/>
      <w:r>
        <w:rPr>
          <w:rFonts w:hint="eastAsia" w:ascii="宋体" w:hAnsi="宋体"/>
          <w:b/>
          <w:color w:val="000000" w:themeColor="text1"/>
          <w:sz w:val="24"/>
          <w:u w:val="single"/>
        </w:rPr>
        <w:t>/</w:t>
      </w:r>
      <w:permEnd w:id="4"/>
      <w:r>
        <w:rPr>
          <w:rFonts w:hint="eastAsia" w:ascii="宋体" w:hAnsi="宋体"/>
          <w:color w:val="000000" w:themeColor="text1"/>
          <w:sz w:val="24"/>
        </w:rPr>
        <w:t>。</w:t>
      </w:r>
    </w:p>
    <w:p>
      <w:pPr>
        <w:numPr>
          <w:ilvl w:val="0"/>
          <w:numId w:val="2"/>
        </w:numPr>
        <w:tabs>
          <w:tab w:val="clear" w:pos="425"/>
        </w:tabs>
        <w:spacing w:line="360" w:lineRule="auto"/>
        <w:outlineLvl w:val="2"/>
        <w:rPr>
          <w:rFonts w:ascii="宋体" w:hAnsi="宋体"/>
          <w:b/>
          <w:color w:val="000000" w:themeColor="text1"/>
          <w:sz w:val="24"/>
        </w:rPr>
      </w:pPr>
      <w:r>
        <w:rPr>
          <w:rFonts w:hint="eastAsia" w:ascii="宋体" w:hAnsi="宋体"/>
          <w:b/>
          <w:color w:val="000000" w:themeColor="text1"/>
          <w:sz w:val="24"/>
        </w:rPr>
        <w:t>报价内容</w:t>
      </w:r>
    </w:p>
    <w:p>
      <w:pPr>
        <w:spacing w:line="360" w:lineRule="auto"/>
        <w:ind w:firstLine="542" w:firstLineChars="225"/>
        <w:rPr>
          <w:rFonts w:ascii="宋体" w:hAnsi="宋体"/>
          <w:b/>
          <w:color w:val="000000" w:themeColor="text1"/>
          <w:sz w:val="24"/>
        </w:rPr>
      </w:pPr>
      <w:r>
        <w:rPr>
          <w:rFonts w:hint="eastAsia" w:ascii="宋体" w:hAnsi="宋体"/>
          <w:b/>
          <w:color w:val="000000" w:themeColor="text1"/>
          <w:sz w:val="24"/>
        </w:rPr>
        <w:t>根据招标人提供的工程量清单、图纸及相关招标要求进行完整合理报价。</w:t>
      </w:r>
    </w:p>
    <w:p>
      <w:pPr>
        <w:numPr>
          <w:ilvl w:val="0"/>
          <w:numId w:val="2"/>
        </w:numPr>
        <w:tabs>
          <w:tab w:val="clear" w:pos="425"/>
        </w:tabs>
        <w:spacing w:line="360" w:lineRule="auto"/>
        <w:outlineLvl w:val="2"/>
        <w:rPr>
          <w:rFonts w:ascii="宋体" w:hAnsi="宋体"/>
          <w:b/>
          <w:color w:val="000000" w:themeColor="text1"/>
          <w:sz w:val="24"/>
        </w:rPr>
      </w:pPr>
      <w:r>
        <w:rPr>
          <w:rFonts w:hint="eastAsia" w:ascii="宋体" w:hAnsi="宋体"/>
          <w:b/>
          <w:color w:val="000000" w:themeColor="text1"/>
          <w:sz w:val="24"/>
        </w:rPr>
        <w:t>投标人要求</w:t>
      </w:r>
    </w:p>
    <w:p>
      <w:pPr>
        <w:spacing w:line="360" w:lineRule="auto"/>
        <w:ind w:firstLine="480" w:firstLineChars="200"/>
        <w:jc w:val="left"/>
        <w:rPr>
          <w:rFonts w:ascii="宋体" w:hAnsi="宋体"/>
          <w:color w:val="000000" w:themeColor="text1"/>
          <w:sz w:val="24"/>
        </w:rPr>
      </w:pPr>
      <w:r>
        <w:rPr>
          <w:rFonts w:hint="eastAsia" w:ascii="宋体" w:hAnsi="宋体"/>
          <w:color w:val="000000" w:themeColor="text1"/>
          <w:sz w:val="24"/>
        </w:rPr>
        <w:t>投标人应具备</w:t>
      </w:r>
      <w:permStart w:id="5" w:edGrp="everyone"/>
      <w:r>
        <w:rPr>
          <w:rFonts w:hint="eastAsia" w:ascii="宋体" w:hAnsi="宋体"/>
          <w:color w:val="000000" w:themeColor="text1"/>
          <w:sz w:val="24"/>
        </w:rPr>
        <w:t>独立法人资格，具备装修工程施工三级以上（含三级）</w:t>
      </w:r>
      <w:permEnd w:id="5"/>
      <w:r>
        <w:rPr>
          <w:rFonts w:hint="eastAsia" w:ascii="宋体" w:hAnsi="宋体"/>
          <w:color w:val="000000" w:themeColor="text1"/>
          <w:sz w:val="24"/>
        </w:rPr>
        <w:t>资质。</w:t>
      </w:r>
    </w:p>
    <w:p>
      <w:pPr>
        <w:pStyle w:val="2"/>
        <w:spacing w:line="360" w:lineRule="auto"/>
        <w:rPr>
          <w:rFonts w:ascii="宋体" w:hAnsi="宋体" w:eastAsia="宋体"/>
          <w:bCs w:val="0"/>
          <w:color w:val="000000" w:themeColor="text1"/>
          <w:szCs w:val="32"/>
        </w:rPr>
      </w:pPr>
      <w:r>
        <w:rPr>
          <w:rFonts w:hint="eastAsia" w:ascii="宋体" w:hAnsi="宋体" w:eastAsia="宋体"/>
          <w:bCs w:val="0"/>
          <w:color w:val="000000" w:themeColor="text1"/>
          <w:szCs w:val="32"/>
        </w:rPr>
        <w:t>第三章  招标文件及组成</w:t>
      </w:r>
      <w:bookmarkEnd w:id="15"/>
    </w:p>
    <w:p>
      <w:pPr>
        <w:numPr>
          <w:ilvl w:val="0"/>
          <w:numId w:val="2"/>
        </w:numPr>
        <w:tabs>
          <w:tab w:val="clear" w:pos="425"/>
        </w:tabs>
        <w:spacing w:line="360" w:lineRule="auto"/>
        <w:outlineLvl w:val="2"/>
        <w:rPr>
          <w:rFonts w:ascii="宋体" w:hAnsi="宋体"/>
          <w:b/>
          <w:color w:val="000000" w:themeColor="text1"/>
          <w:sz w:val="24"/>
        </w:rPr>
      </w:pPr>
      <w:r>
        <w:rPr>
          <w:rFonts w:hint="eastAsia" w:ascii="宋体" w:hAnsi="宋体"/>
          <w:b/>
          <w:color w:val="000000" w:themeColor="text1"/>
          <w:sz w:val="24"/>
        </w:rPr>
        <w:t>招标文件的组成</w:t>
      </w:r>
    </w:p>
    <w:p>
      <w:pPr>
        <w:numPr>
          <w:ilvl w:val="1"/>
          <w:numId w:val="2"/>
        </w:numPr>
        <w:tabs>
          <w:tab w:val="left" w:pos="426"/>
          <w:tab w:val="left" w:pos="567"/>
        </w:tabs>
        <w:spacing w:line="360" w:lineRule="auto"/>
        <w:rPr>
          <w:rFonts w:ascii="宋体" w:hAnsi="宋体"/>
          <w:color w:val="000000" w:themeColor="text1"/>
          <w:sz w:val="24"/>
        </w:rPr>
      </w:pPr>
      <w:r>
        <w:rPr>
          <w:rFonts w:hint="eastAsia" w:ascii="宋体" w:hAnsi="宋体"/>
          <w:color w:val="000000" w:themeColor="text1"/>
          <w:sz w:val="24"/>
        </w:rPr>
        <w:t>招标文件包括下列内容：</w:t>
      </w:r>
    </w:p>
    <w:p>
      <w:pPr>
        <w:spacing w:line="360" w:lineRule="auto"/>
        <w:ind w:firstLine="566" w:firstLineChars="236"/>
        <w:rPr>
          <w:rFonts w:ascii="宋体" w:hAnsi="宋体"/>
          <w:color w:val="000000" w:themeColor="text1"/>
          <w:sz w:val="24"/>
        </w:rPr>
      </w:pPr>
      <w:r>
        <w:rPr>
          <w:rFonts w:hint="eastAsia" w:ascii="宋体" w:hAnsi="宋体"/>
          <w:color w:val="000000" w:themeColor="text1"/>
          <w:sz w:val="24"/>
        </w:rPr>
        <w:t>第一部分 投标须知</w:t>
      </w:r>
    </w:p>
    <w:p>
      <w:pPr>
        <w:numPr>
          <w:ilvl w:val="0"/>
          <w:numId w:val="3"/>
        </w:numPr>
        <w:spacing w:line="360" w:lineRule="auto"/>
        <w:rPr>
          <w:rFonts w:ascii="宋体" w:hAnsi="宋体"/>
          <w:color w:val="000000" w:themeColor="text1"/>
          <w:sz w:val="24"/>
        </w:rPr>
      </w:pPr>
      <w:r>
        <w:rPr>
          <w:rFonts w:hint="eastAsia" w:ascii="宋体" w:hAnsi="宋体"/>
          <w:color w:val="000000" w:themeColor="text1"/>
          <w:sz w:val="24"/>
        </w:rPr>
        <w:t>招标须知</w:t>
      </w:r>
    </w:p>
    <w:p>
      <w:pPr>
        <w:numPr>
          <w:ilvl w:val="0"/>
          <w:numId w:val="3"/>
        </w:numPr>
        <w:spacing w:line="360" w:lineRule="auto"/>
        <w:rPr>
          <w:rFonts w:ascii="宋体" w:hAnsi="宋体"/>
          <w:color w:val="000000" w:themeColor="text1"/>
          <w:sz w:val="24"/>
        </w:rPr>
      </w:pPr>
      <w:r>
        <w:rPr>
          <w:rFonts w:hint="eastAsia" w:ascii="宋体" w:hAnsi="宋体"/>
          <w:color w:val="000000" w:themeColor="text1"/>
          <w:sz w:val="24"/>
        </w:rPr>
        <w:t>工程信息</w:t>
      </w:r>
    </w:p>
    <w:p>
      <w:pPr>
        <w:numPr>
          <w:ilvl w:val="0"/>
          <w:numId w:val="3"/>
        </w:numPr>
        <w:spacing w:line="360" w:lineRule="auto"/>
        <w:rPr>
          <w:rFonts w:ascii="宋体" w:hAnsi="宋体"/>
          <w:color w:val="000000" w:themeColor="text1"/>
          <w:sz w:val="24"/>
        </w:rPr>
      </w:pPr>
      <w:r>
        <w:rPr>
          <w:rFonts w:hint="eastAsia" w:ascii="宋体" w:hAnsi="宋体"/>
          <w:color w:val="000000" w:themeColor="text1"/>
          <w:sz w:val="24"/>
        </w:rPr>
        <w:t>招标文件及组成</w:t>
      </w:r>
    </w:p>
    <w:p>
      <w:pPr>
        <w:numPr>
          <w:ilvl w:val="0"/>
          <w:numId w:val="3"/>
        </w:numPr>
        <w:spacing w:line="360" w:lineRule="auto"/>
        <w:rPr>
          <w:rFonts w:ascii="宋体" w:hAnsi="宋体"/>
          <w:color w:val="000000" w:themeColor="text1"/>
          <w:sz w:val="24"/>
        </w:rPr>
      </w:pPr>
      <w:r>
        <w:rPr>
          <w:rFonts w:hint="eastAsia" w:ascii="宋体" w:hAnsi="宋体"/>
          <w:color w:val="000000" w:themeColor="text1"/>
          <w:sz w:val="24"/>
        </w:rPr>
        <w:t>投标文件要求</w:t>
      </w:r>
    </w:p>
    <w:p>
      <w:pPr>
        <w:numPr>
          <w:ilvl w:val="0"/>
          <w:numId w:val="3"/>
        </w:numPr>
        <w:spacing w:line="360" w:lineRule="auto"/>
        <w:rPr>
          <w:rFonts w:ascii="宋体" w:hAnsi="宋体"/>
          <w:color w:val="000000" w:themeColor="text1"/>
          <w:sz w:val="24"/>
        </w:rPr>
      </w:pPr>
      <w:r>
        <w:rPr>
          <w:rFonts w:hint="eastAsia" w:ascii="宋体" w:hAnsi="宋体"/>
          <w:color w:val="000000" w:themeColor="text1"/>
          <w:sz w:val="24"/>
        </w:rPr>
        <w:t>投标文件的评审</w:t>
      </w:r>
    </w:p>
    <w:p>
      <w:pPr>
        <w:numPr>
          <w:ilvl w:val="0"/>
          <w:numId w:val="3"/>
        </w:numPr>
        <w:spacing w:line="360" w:lineRule="auto"/>
        <w:rPr>
          <w:rFonts w:ascii="宋体" w:hAnsi="宋体"/>
          <w:color w:val="000000" w:themeColor="text1"/>
          <w:sz w:val="24"/>
        </w:rPr>
      </w:pPr>
      <w:r>
        <w:rPr>
          <w:rFonts w:hint="eastAsia" w:ascii="宋体" w:hAnsi="宋体"/>
          <w:color w:val="000000" w:themeColor="text1"/>
          <w:sz w:val="24"/>
        </w:rPr>
        <w:t>其它说明</w:t>
      </w:r>
    </w:p>
    <w:p>
      <w:pPr>
        <w:numPr>
          <w:ilvl w:val="0"/>
          <w:numId w:val="3"/>
        </w:numPr>
        <w:spacing w:line="360" w:lineRule="auto"/>
        <w:rPr>
          <w:rFonts w:ascii="宋体" w:hAnsi="宋体"/>
          <w:color w:val="000000" w:themeColor="text1"/>
          <w:sz w:val="24"/>
        </w:rPr>
      </w:pPr>
      <w:r>
        <w:rPr>
          <w:rFonts w:hint="eastAsia" w:ascii="宋体" w:hAnsi="宋体"/>
          <w:color w:val="000000" w:themeColor="text1"/>
          <w:sz w:val="24"/>
        </w:rPr>
        <w:t>招标文件附件</w:t>
      </w:r>
    </w:p>
    <w:p>
      <w:pPr>
        <w:spacing w:line="360" w:lineRule="auto"/>
        <w:ind w:firstLine="566" w:firstLineChars="236"/>
        <w:rPr>
          <w:rFonts w:ascii="宋体" w:hAnsi="宋体"/>
          <w:color w:val="000000" w:themeColor="text1"/>
          <w:sz w:val="24"/>
        </w:rPr>
      </w:pPr>
      <w:r>
        <w:rPr>
          <w:rFonts w:hint="eastAsia" w:ascii="宋体" w:hAnsi="宋体"/>
          <w:color w:val="000000" w:themeColor="text1"/>
          <w:sz w:val="24"/>
        </w:rPr>
        <w:t>第二部分 合同文件</w:t>
      </w:r>
    </w:p>
    <w:p>
      <w:pPr>
        <w:spacing w:line="360" w:lineRule="auto"/>
        <w:ind w:firstLine="566" w:firstLineChars="236"/>
        <w:rPr>
          <w:rFonts w:ascii="宋体" w:hAnsi="宋体"/>
          <w:color w:val="000000" w:themeColor="text1"/>
          <w:sz w:val="24"/>
        </w:rPr>
      </w:pPr>
      <w:r>
        <w:rPr>
          <w:rFonts w:hint="eastAsia" w:ascii="宋体" w:hAnsi="宋体"/>
          <w:color w:val="000000" w:themeColor="text1"/>
          <w:sz w:val="24"/>
        </w:rPr>
        <w:t>第三部分 图纸</w:t>
      </w:r>
    </w:p>
    <w:p>
      <w:pPr>
        <w:spacing w:line="360" w:lineRule="auto"/>
        <w:ind w:firstLine="566" w:firstLineChars="236"/>
        <w:rPr>
          <w:rFonts w:ascii="宋体" w:hAnsi="宋体"/>
          <w:color w:val="000000" w:themeColor="text1"/>
          <w:sz w:val="24"/>
        </w:rPr>
      </w:pPr>
      <w:r>
        <w:rPr>
          <w:rFonts w:hint="eastAsia" w:ascii="宋体" w:hAnsi="宋体"/>
          <w:color w:val="000000" w:themeColor="text1"/>
          <w:sz w:val="24"/>
        </w:rPr>
        <w:t>第四部分工程量清单</w:t>
      </w:r>
    </w:p>
    <w:p>
      <w:pPr>
        <w:numPr>
          <w:ilvl w:val="1"/>
          <w:numId w:val="2"/>
        </w:numPr>
        <w:tabs>
          <w:tab w:val="left" w:pos="567"/>
          <w:tab w:val="clear" w:pos="0"/>
        </w:tabs>
        <w:spacing w:line="360" w:lineRule="auto"/>
        <w:ind w:left="566" w:hanging="566" w:hangingChars="236"/>
        <w:rPr>
          <w:rFonts w:ascii="宋体" w:hAnsi="宋体"/>
          <w:color w:val="000000" w:themeColor="text1"/>
          <w:sz w:val="24"/>
        </w:rPr>
      </w:pPr>
      <w:r>
        <w:rPr>
          <w:rFonts w:hint="eastAsia" w:ascii="宋体" w:hAnsi="宋体"/>
          <w:color w:val="000000" w:themeColor="text1"/>
          <w:sz w:val="24"/>
        </w:rPr>
        <w:t>招标文件除上述内容外，招标人按相关规定所发出的书面有效答疑纪要、补充通知或修订函件等，均是招标文件的组成部分，对投标人起约束作用。</w:t>
      </w:r>
    </w:p>
    <w:p>
      <w:pPr>
        <w:numPr>
          <w:ilvl w:val="0"/>
          <w:numId w:val="2"/>
        </w:numPr>
        <w:tabs>
          <w:tab w:val="clear" w:pos="425"/>
        </w:tabs>
        <w:spacing w:line="360" w:lineRule="auto"/>
        <w:outlineLvl w:val="2"/>
        <w:rPr>
          <w:rFonts w:ascii="宋体" w:hAnsi="宋体"/>
          <w:b/>
          <w:color w:val="000000" w:themeColor="text1"/>
          <w:sz w:val="24"/>
        </w:rPr>
      </w:pPr>
      <w:r>
        <w:rPr>
          <w:rFonts w:hint="eastAsia" w:ascii="宋体" w:hAnsi="宋体"/>
          <w:b/>
          <w:color w:val="000000" w:themeColor="text1"/>
          <w:sz w:val="24"/>
        </w:rPr>
        <w:t>招标文件的澄清</w:t>
      </w:r>
    </w:p>
    <w:p>
      <w:pPr>
        <w:numPr>
          <w:ilvl w:val="1"/>
          <w:numId w:val="2"/>
        </w:numPr>
        <w:tabs>
          <w:tab w:val="left" w:pos="567"/>
          <w:tab w:val="clear" w:pos="0"/>
        </w:tabs>
        <w:spacing w:line="360" w:lineRule="auto"/>
        <w:ind w:left="566" w:hanging="566" w:hangingChars="236"/>
        <w:rPr>
          <w:rFonts w:ascii="宋体" w:hAnsi="宋体"/>
          <w:color w:val="000000" w:themeColor="text1"/>
          <w:sz w:val="24"/>
        </w:rPr>
      </w:pPr>
      <w:r>
        <w:rPr>
          <w:rFonts w:hint="eastAsia" w:ascii="宋体" w:hAnsi="宋体"/>
          <w:color w:val="000000" w:themeColor="text1"/>
          <w:sz w:val="24"/>
        </w:rPr>
        <w:t>投标人在收到招标文件后，应仔细检查招标文件的所有内容，如有残缺或文字表述不清，图纸尺寸标注不明以及存在错、漏、缺、概念模糊和有可能出现歧义或理解上的偏差的内容等,应按照招标文件中关于提交书面质疑所规定的截止时间及时向招标人提出书面质疑。招标人有关澄清招标文件的任何形式的书面文件都将作为招标文件的组成部分，对投标人起约束作用。</w:t>
      </w:r>
    </w:p>
    <w:p>
      <w:pPr>
        <w:numPr>
          <w:ilvl w:val="1"/>
          <w:numId w:val="2"/>
        </w:numPr>
        <w:tabs>
          <w:tab w:val="left" w:pos="567"/>
          <w:tab w:val="clear" w:pos="0"/>
        </w:tabs>
        <w:spacing w:line="360" w:lineRule="auto"/>
        <w:ind w:left="566" w:hanging="566" w:hangingChars="236"/>
        <w:rPr>
          <w:rFonts w:ascii="宋体" w:hAnsi="宋体"/>
          <w:color w:val="000000" w:themeColor="text1"/>
          <w:sz w:val="24"/>
        </w:rPr>
      </w:pPr>
      <w:r>
        <w:rPr>
          <w:rFonts w:hint="eastAsia" w:ascii="宋体" w:hAnsi="宋体"/>
          <w:color w:val="000000" w:themeColor="text1"/>
          <w:sz w:val="24"/>
        </w:rPr>
        <w:t>无论投标人对所有招标文件是否认真阅读，招标人均认为投标人对所有招标文件已不存在疑义并已充分理解，其投标文件已充分考虑到本招标工程所存在的各种风险。</w:t>
      </w:r>
    </w:p>
    <w:p>
      <w:pPr>
        <w:numPr>
          <w:ilvl w:val="0"/>
          <w:numId w:val="2"/>
        </w:numPr>
        <w:tabs>
          <w:tab w:val="clear" w:pos="425"/>
        </w:tabs>
        <w:spacing w:line="360" w:lineRule="auto"/>
        <w:outlineLvl w:val="2"/>
        <w:rPr>
          <w:rFonts w:ascii="宋体" w:hAnsi="宋体"/>
          <w:b/>
          <w:color w:val="000000" w:themeColor="text1"/>
          <w:sz w:val="24"/>
        </w:rPr>
      </w:pPr>
      <w:r>
        <w:rPr>
          <w:rFonts w:hint="eastAsia" w:ascii="宋体" w:hAnsi="宋体"/>
          <w:b/>
          <w:color w:val="000000" w:themeColor="text1"/>
          <w:sz w:val="24"/>
        </w:rPr>
        <w:t>招标文件的修改</w:t>
      </w:r>
    </w:p>
    <w:p>
      <w:pPr>
        <w:numPr>
          <w:ilvl w:val="1"/>
          <w:numId w:val="2"/>
        </w:numPr>
        <w:tabs>
          <w:tab w:val="left" w:pos="567"/>
          <w:tab w:val="clear" w:pos="0"/>
        </w:tabs>
        <w:spacing w:line="360" w:lineRule="auto"/>
        <w:ind w:left="566" w:hanging="566" w:hangingChars="236"/>
        <w:rPr>
          <w:rFonts w:ascii="宋体" w:hAnsi="宋体"/>
          <w:color w:val="000000" w:themeColor="text1"/>
          <w:sz w:val="24"/>
        </w:rPr>
      </w:pPr>
      <w:r>
        <w:rPr>
          <w:rFonts w:hint="eastAsia" w:ascii="宋体" w:hAnsi="宋体"/>
          <w:color w:val="000000" w:themeColor="text1"/>
          <w:sz w:val="24"/>
        </w:rPr>
        <w:t>招标文件发出后，在投标截止日前，无论出于何种原因，招标人可主动地或在解答投标人提出的澄清问题时对招标文件进行修改。</w:t>
      </w:r>
    </w:p>
    <w:p>
      <w:pPr>
        <w:numPr>
          <w:ilvl w:val="1"/>
          <w:numId w:val="2"/>
        </w:numPr>
        <w:tabs>
          <w:tab w:val="left" w:pos="567"/>
          <w:tab w:val="clear" w:pos="0"/>
        </w:tabs>
        <w:spacing w:line="360" w:lineRule="auto"/>
        <w:ind w:left="566" w:hanging="566" w:hangingChars="236"/>
        <w:rPr>
          <w:rFonts w:ascii="宋体" w:hAnsi="宋体"/>
          <w:color w:val="000000" w:themeColor="text1"/>
          <w:sz w:val="24"/>
        </w:rPr>
      </w:pPr>
      <w:r>
        <w:rPr>
          <w:rFonts w:hint="eastAsia" w:ascii="宋体" w:hAnsi="宋体"/>
          <w:color w:val="000000" w:themeColor="text1"/>
          <w:sz w:val="24"/>
        </w:rPr>
        <w:t>招标文件的修改将以书面形式递交给所有获得招标文件的投标人，招标文件一经招标人修改，将以修改后的招标文件为准，对所有投标人均产生约束力。投标人的法定代表人或委托代理人在收到修改后的招标文件的同时，应向招标人办理有关签收记录（以传真方式递交给投标人时，应以确认书方式确认收到修改后的招标文件）。</w:t>
      </w:r>
    </w:p>
    <w:p>
      <w:pPr>
        <w:numPr>
          <w:ilvl w:val="1"/>
          <w:numId w:val="2"/>
        </w:numPr>
        <w:tabs>
          <w:tab w:val="left" w:pos="567"/>
          <w:tab w:val="clear" w:pos="0"/>
        </w:tabs>
        <w:spacing w:line="360" w:lineRule="auto"/>
        <w:ind w:left="566" w:hanging="566" w:hangingChars="236"/>
        <w:rPr>
          <w:rFonts w:ascii="宋体" w:hAnsi="宋体"/>
          <w:color w:val="000000" w:themeColor="text1"/>
          <w:sz w:val="24"/>
        </w:rPr>
      </w:pPr>
      <w:r>
        <w:rPr>
          <w:rFonts w:hint="eastAsia" w:ascii="宋体" w:hAnsi="宋体"/>
          <w:color w:val="000000" w:themeColor="text1"/>
          <w:sz w:val="24"/>
        </w:rPr>
        <w:t>招标文件、招标文件澄清、修改的内容，均以书面形式明确的内容为准。当招标文件、招标文件澄清、修改内容相互矛盾时，以最后发出的通知（或纪要）或修改文件为准；电话或口头咨询和答复的意思解释均不具有法律约束力。</w:t>
      </w:r>
    </w:p>
    <w:p>
      <w:pPr>
        <w:numPr>
          <w:ilvl w:val="1"/>
          <w:numId w:val="2"/>
        </w:numPr>
        <w:tabs>
          <w:tab w:val="left" w:pos="567"/>
          <w:tab w:val="clear" w:pos="0"/>
        </w:tabs>
        <w:spacing w:line="360" w:lineRule="auto"/>
        <w:ind w:left="566" w:hanging="566" w:hangingChars="236"/>
        <w:rPr>
          <w:rFonts w:ascii="宋体" w:hAnsi="宋体"/>
          <w:color w:val="000000" w:themeColor="text1"/>
          <w:sz w:val="24"/>
        </w:rPr>
      </w:pPr>
      <w:r>
        <w:rPr>
          <w:rFonts w:hint="eastAsia" w:ascii="宋体" w:hAnsi="宋体"/>
          <w:color w:val="000000" w:themeColor="text1"/>
          <w:sz w:val="24"/>
        </w:rPr>
        <w:t>招标人保证招标文件澄清或修改在投标截止日前以书面形式发给所有投标人。为了使投标人在编写投标文件时有充分的时间对招标文件的修改部分进行研究，招标人可以视其修改的工作量，酌情考虑是否延长递交投标文件的截止时间，并将修改后的递交投标文件截止时间以书面形式通知投标人。</w:t>
      </w:r>
    </w:p>
    <w:p>
      <w:pPr>
        <w:pStyle w:val="2"/>
        <w:spacing w:line="360" w:lineRule="auto"/>
        <w:rPr>
          <w:rFonts w:ascii="宋体" w:hAnsi="宋体" w:eastAsia="宋体"/>
          <w:bCs w:val="0"/>
          <w:color w:val="000000" w:themeColor="text1"/>
          <w:szCs w:val="32"/>
        </w:rPr>
      </w:pPr>
      <w:bookmarkStart w:id="17" w:name="_Toc233622073"/>
      <w:r>
        <w:rPr>
          <w:rFonts w:hint="eastAsia" w:ascii="宋体" w:hAnsi="宋体" w:eastAsia="宋体"/>
          <w:bCs w:val="0"/>
          <w:color w:val="000000" w:themeColor="text1"/>
          <w:szCs w:val="32"/>
        </w:rPr>
        <w:t>第四章 投标文件要求</w:t>
      </w:r>
      <w:bookmarkEnd w:id="17"/>
    </w:p>
    <w:p>
      <w:pPr>
        <w:numPr>
          <w:ilvl w:val="0"/>
          <w:numId w:val="2"/>
        </w:numPr>
        <w:tabs>
          <w:tab w:val="clear" w:pos="425"/>
        </w:tabs>
        <w:spacing w:line="360" w:lineRule="auto"/>
        <w:outlineLvl w:val="2"/>
        <w:rPr>
          <w:rFonts w:ascii="宋体" w:hAnsi="宋体"/>
          <w:b/>
          <w:color w:val="000000" w:themeColor="text1"/>
          <w:sz w:val="24"/>
        </w:rPr>
      </w:pPr>
      <w:r>
        <w:rPr>
          <w:rFonts w:hint="eastAsia" w:ascii="宋体" w:hAnsi="宋体"/>
          <w:b/>
          <w:color w:val="000000" w:themeColor="text1"/>
          <w:sz w:val="24"/>
        </w:rPr>
        <w:t>投标文件组成</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由资信部分、报价部分二部分组成。。如有按本招标文件要求应提供的实物样品需随投标文件一并递交。</w:t>
      </w:r>
    </w:p>
    <w:p>
      <w:pPr>
        <w:pStyle w:val="24"/>
        <w:tabs>
          <w:tab w:val="left" w:pos="709"/>
        </w:tabs>
        <w:spacing w:line="360" w:lineRule="auto"/>
        <w:ind w:firstLine="0" w:firstLineChars="0"/>
        <w:rPr>
          <w:rFonts w:ascii="宋体" w:hAnsi="宋体" w:cs="宋体"/>
          <w:b/>
          <w:color w:val="000000" w:themeColor="text1"/>
          <w:kern w:val="0"/>
          <w:sz w:val="24"/>
        </w:rPr>
      </w:pPr>
      <w:r>
        <w:rPr>
          <w:rFonts w:hint="eastAsia" w:ascii="宋体" w:hAnsi="宋体" w:cs="宋体"/>
          <w:b/>
          <w:color w:val="000000" w:themeColor="text1"/>
          <w:kern w:val="0"/>
          <w:sz w:val="24"/>
        </w:rPr>
        <w:t>9.1资信部分编制要求</w:t>
      </w:r>
    </w:p>
    <w:p>
      <w:pPr>
        <w:spacing w:line="360" w:lineRule="auto"/>
        <w:rPr>
          <w:rFonts w:ascii="宋体" w:hAnsi="宋体" w:cs="宋体"/>
          <w:color w:val="000000" w:themeColor="text1"/>
          <w:kern w:val="0"/>
          <w:sz w:val="24"/>
        </w:rPr>
      </w:pPr>
      <w:r>
        <w:rPr>
          <w:rFonts w:hint="eastAsia" w:ascii="宋体" w:hAnsi="宋体" w:cs="宋体"/>
          <w:color w:val="000000" w:themeColor="text1"/>
          <w:kern w:val="0"/>
          <w:sz w:val="24"/>
        </w:rPr>
        <w:t>9.1.1 资信部分，不分标段，提供正本和副本各一份，应包含如下内容：</w:t>
      </w:r>
    </w:p>
    <w:p>
      <w:pPr>
        <w:numPr>
          <w:ilvl w:val="0"/>
          <w:numId w:val="4"/>
        </w:numPr>
        <w:snapToGrid w:val="0"/>
        <w:spacing w:before="156" w:after="156" w:line="360" w:lineRule="auto"/>
        <w:ind w:left="709" w:hanging="425"/>
        <w:rPr>
          <w:rFonts w:ascii="宋体" w:hAnsi="宋体" w:cs="Arial"/>
          <w:color w:val="000000" w:themeColor="text1"/>
          <w:spacing w:val="10"/>
          <w:sz w:val="24"/>
        </w:rPr>
      </w:pPr>
      <w:r>
        <w:rPr>
          <w:rFonts w:hint="eastAsia" w:ascii="宋体" w:hAnsi="宋体" w:cs="Arial"/>
          <w:color w:val="000000" w:themeColor="text1"/>
          <w:spacing w:val="10"/>
          <w:sz w:val="24"/>
        </w:rPr>
        <w:t>提供企业法定代表人身份证明文件和法定代表人授权委托书；法定代表人身份证明和法定代表人授权委托书格式详见《附件02：投标文件格式》；</w:t>
      </w:r>
    </w:p>
    <w:p>
      <w:pPr>
        <w:numPr>
          <w:ilvl w:val="0"/>
          <w:numId w:val="4"/>
        </w:numPr>
        <w:snapToGrid w:val="0"/>
        <w:spacing w:before="156" w:after="156" w:line="360" w:lineRule="auto"/>
        <w:ind w:left="709" w:hanging="425"/>
        <w:rPr>
          <w:rFonts w:ascii="宋体" w:hAnsi="宋体" w:cs="Arial"/>
          <w:color w:val="000000" w:themeColor="text1"/>
          <w:spacing w:val="10"/>
          <w:sz w:val="24"/>
        </w:rPr>
      </w:pPr>
      <w:r>
        <w:rPr>
          <w:rFonts w:hint="eastAsia" w:ascii="宋体" w:hAnsi="宋体" w:cs="Arial"/>
          <w:color w:val="000000" w:themeColor="text1"/>
          <w:spacing w:val="10"/>
          <w:sz w:val="24"/>
        </w:rPr>
        <w:t>提供投标人的营业执照复印件、专项施工资质等级证书的复印件、国家颁发的有关生产许可证复印件、安全生产许可证复印件，均需加盖公章；</w:t>
      </w:r>
    </w:p>
    <w:p>
      <w:pPr>
        <w:numPr>
          <w:ilvl w:val="0"/>
          <w:numId w:val="4"/>
        </w:numPr>
        <w:snapToGrid w:val="0"/>
        <w:spacing w:before="156" w:after="156" w:line="360" w:lineRule="auto"/>
        <w:ind w:left="709" w:hanging="425"/>
        <w:rPr>
          <w:rFonts w:ascii="宋体" w:hAnsi="宋体" w:cs="Arial"/>
          <w:color w:val="000000" w:themeColor="text1"/>
          <w:spacing w:val="10"/>
          <w:sz w:val="24"/>
        </w:rPr>
      </w:pPr>
      <w:r>
        <w:rPr>
          <w:rFonts w:hint="eastAsia" w:ascii="宋体" w:hAnsi="宋体" w:cs="Arial"/>
          <w:color w:val="000000" w:themeColor="text1"/>
          <w:spacing w:val="10"/>
          <w:sz w:val="24"/>
        </w:rPr>
        <w:t>其余相关证件（在复印件上加盖公章），由投标人在投标文件中自行补充。</w:t>
      </w:r>
    </w:p>
    <w:p>
      <w:pPr>
        <w:numPr>
          <w:ilvl w:val="0"/>
          <w:numId w:val="4"/>
        </w:numPr>
        <w:snapToGrid w:val="0"/>
        <w:spacing w:line="360" w:lineRule="auto"/>
        <w:ind w:left="709" w:hanging="425"/>
        <w:rPr>
          <w:rFonts w:ascii="宋体" w:hAnsi="宋体" w:cs="Arial"/>
          <w:color w:val="000000" w:themeColor="text1"/>
          <w:spacing w:val="10"/>
          <w:sz w:val="24"/>
        </w:rPr>
      </w:pPr>
      <w:r>
        <w:rPr>
          <w:rFonts w:hint="eastAsia" w:ascii="宋体" w:hAnsi="宋体" w:cs="Arial"/>
          <w:color w:val="000000" w:themeColor="text1"/>
          <w:spacing w:val="10"/>
          <w:sz w:val="24"/>
        </w:rPr>
        <w:t>资料真实可靠，不得弄虚作假，没收投标保证金或履约保证金，并要求中标人承担赔偿责任。</w:t>
      </w:r>
    </w:p>
    <w:p>
      <w:pPr>
        <w:tabs>
          <w:tab w:val="left" w:pos="709"/>
        </w:tabs>
        <w:spacing w:line="360" w:lineRule="auto"/>
        <w:rPr>
          <w:rFonts w:ascii="宋体" w:hAnsi="宋体" w:cs="宋体"/>
          <w:b/>
          <w:color w:val="000000" w:themeColor="text1"/>
          <w:kern w:val="0"/>
          <w:sz w:val="24"/>
        </w:rPr>
      </w:pPr>
      <w:r>
        <w:rPr>
          <w:rFonts w:hint="eastAsia" w:ascii="宋体" w:hAnsi="宋体" w:cs="宋体"/>
          <w:b/>
          <w:color w:val="000000" w:themeColor="text1"/>
          <w:kern w:val="0"/>
          <w:sz w:val="24"/>
        </w:rPr>
        <w:t>9.2报价部分的编制要求</w:t>
      </w:r>
    </w:p>
    <w:p>
      <w:pPr>
        <w:spacing w:line="360" w:lineRule="auto"/>
        <w:rPr>
          <w:rFonts w:ascii="宋体" w:hAnsi="宋体" w:cs="宋体"/>
          <w:color w:val="000000" w:themeColor="text1"/>
          <w:kern w:val="0"/>
          <w:sz w:val="24"/>
        </w:rPr>
      </w:pPr>
      <w:r>
        <w:rPr>
          <w:rFonts w:hint="eastAsia" w:ascii="宋体" w:hAnsi="宋体" w:cs="宋体"/>
          <w:color w:val="000000" w:themeColor="text1"/>
          <w:kern w:val="0"/>
          <w:sz w:val="24"/>
        </w:rPr>
        <w:t>9.2.1 报价部分，按标段划分，每个标段提供正本和副本各一份，应包含如下内容：</w:t>
      </w:r>
    </w:p>
    <w:p>
      <w:pPr>
        <w:numPr>
          <w:ilvl w:val="0"/>
          <w:numId w:val="5"/>
        </w:numPr>
        <w:snapToGrid w:val="0"/>
        <w:spacing w:before="156" w:after="156" w:line="360" w:lineRule="auto"/>
        <w:ind w:left="142" w:firstLine="140" w:firstLineChars="54"/>
        <w:rPr>
          <w:rFonts w:ascii="宋体" w:hAnsi="宋体" w:cs="Arial"/>
          <w:color w:val="000000" w:themeColor="text1"/>
          <w:spacing w:val="10"/>
          <w:sz w:val="24"/>
        </w:rPr>
      </w:pPr>
      <w:r>
        <w:rPr>
          <w:rFonts w:hint="eastAsia" w:ascii="宋体" w:hAnsi="宋体" w:cs="Arial"/>
          <w:color w:val="000000" w:themeColor="text1"/>
          <w:spacing w:val="10"/>
          <w:sz w:val="24"/>
        </w:rPr>
        <w:t>投标承诺函；格式详见《附件01：投标承诺函》。</w:t>
      </w:r>
    </w:p>
    <w:p>
      <w:pPr>
        <w:numPr>
          <w:ilvl w:val="0"/>
          <w:numId w:val="5"/>
        </w:numPr>
        <w:snapToGrid w:val="0"/>
        <w:spacing w:before="156" w:after="156" w:line="360" w:lineRule="auto"/>
        <w:ind w:left="142" w:firstLine="140" w:firstLineChars="54"/>
        <w:rPr>
          <w:rFonts w:ascii="宋体" w:hAnsi="宋体" w:cs="Arial"/>
          <w:color w:val="000000" w:themeColor="text1"/>
          <w:spacing w:val="10"/>
          <w:sz w:val="24"/>
        </w:rPr>
      </w:pPr>
      <w:r>
        <w:rPr>
          <w:rFonts w:hint="eastAsia" w:ascii="宋体" w:hAnsi="宋体" w:cs="Arial"/>
          <w:color w:val="000000" w:themeColor="text1"/>
          <w:spacing w:val="10"/>
          <w:sz w:val="24"/>
        </w:rPr>
        <w:t>工程量清单报价；详见本招标文件第四部份《工程量清单》。</w:t>
      </w:r>
    </w:p>
    <w:p>
      <w:pPr>
        <w:spacing w:line="360" w:lineRule="auto"/>
        <w:rPr>
          <w:rFonts w:ascii="宋体" w:hAnsi="宋体" w:cs="宋体"/>
          <w:color w:val="000000" w:themeColor="text1"/>
          <w:kern w:val="0"/>
          <w:sz w:val="24"/>
        </w:rPr>
      </w:pPr>
      <w:r>
        <w:rPr>
          <w:rFonts w:hint="eastAsia" w:ascii="宋体" w:hAnsi="宋体" w:cs="宋体"/>
          <w:color w:val="000000" w:themeColor="text1"/>
          <w:kern w:val="0"/>
          <w:sz w:val="24"/>
        </w:rPr>
        <w:t>9.2.2 报价要求</w:t>
      </w:r>
    </w:p>
    <w:p>
      <w:pPr>
        <w:numPr>
          <w:ilvl w:val="0"/>
          <w:numId w:val="6"/>
        </w:numPr>
        <w:snapToGrid w:val="0"/>
        <w:spacing w:before="156" w:after="156" w:line="360" w:lineRule="auto"/>
        <w:ind w:left="567" w:hanging="425"/>
        <w:rPr>
          <w:rFonts w:ascii="宋体" w:hAnsi="宋体" w:cs="Arial"/>
          <w:color w:val="000000" w:themeColor="text1"/>
          <w:spacing w:val="10"/>
          <w:sz w:val="24"/>
        </w:rPr>
      </w:pPr>
      <w:r>
        <w:rPr>
          <w:rFonts w:hint="eastAsia" w:ascii="宋体" w:hAnsi="宋体" w:cs="Arial"/>
          <w:color w:val="000000" w:themeColor="text1"/>
          <w:spacing w:val="10"/>
          <w:sz w:val="24"/>
        </w:rPr>
        <w:t>本工程报价由投标人根据市场行情及企业经营状况和招标文件中的各项约定，包括本招标文件所附的合同文件样本，综合考虑后进行报价承诺。</w:t>
      </w:r>
    </w:p>
    <w:p>
      <w:pPr>
        <w:numPr>
          <w:ilvl w:val="0"/>
          <w:numId w:val="6"/>
        </w:numPr>
        <w:snapToGrid w:val="0"/>
        <w:spacing w:before="156" w:after="156" w:line="360" w:lineRule="auto"/>
        <w:ind w:left="567" w:hanging="425"/>
        <w:rPr>
          <w:rFonts w:ascii="宋体" w:hAnsi="宋体" w:cs="Arial"/>
          <w:color w:val="000000" w:themeColor="text1"/>
          <w:spacing w:val="10"/>
          <w:sz w:val="24"/>
        </w:rPr>
      </w:pPr>
      <w:r>
        <w:rPr>
          <w:rFonts w:hint="eastAsia" w:ascii="宋体" w:hAnsi="宋体" w:cs="Arial"/>
          <w:color w:val="000000" w:themeColor="text1"/>
          <w:spacing w:val="10"/>
          <w:sz w:val="24"/>
        </w:rPr>
        <w:t>投标人应先到工地踏勘以充分了解工地位置、情况、道路、储存空间、装卸限制及任何其它足以影响承包价格的情况，任何因忽视或误解工地情况而导致的索赔或工期延长申请将不获批准。</w:t>
      </w:r>
    </w:p>
    <w:p>
      <w:pPr>
        <w:numPr>
          <w:ilvl w:val="0"/>
          <w:numId w:val="6"/>
        </w:numPr>
        <w:snapToGrid w:val="0"/>
        <w:spacing w:before="156" w:after="156" w:line="360" w:lineRule="auto"/>
        <w:ind w:left="567" w:hanging="425"/>
        <w:rPr>
          <w:rFonts w:ascii="宋体" w:hAnsi="宋体" w:cs="Arial"/>
          <w:color w:val="000000" w:themeColor="text1"/>
          <w:spacing w:val="10"/>
          <w:sz w:val="24"/>
        </w:rPr>
      </w:pPr>
      <w:r>
        <w:rPr>
          <w:rFonts w:hint="eastAsia" w:ascii="宋体" w:hAnsi="宋体" w:cs="Arial"/>
          <w:color w:val="000000" w:themeColor="text1"/>
          <w:spacing w:val="10"/>
          <w:sz w:val="24"/>
        </w:rPr>
        <w:t>本次招标报价条件：参照招标人编制的《工程量计算规则及单价说明》和相关要求进行报价。</w:t>
      </w:r>
    </w:p>
    <w:p>
      <w:pPr>
        <w:numPr>
          <w:ilvl w:val="0"/>
          <w:numId w:val="6"/>
        </w:numPr>
        <w:snapToGrid w:val="0"/>
        <w:spacing w:before="156" w:after="156" w:line="360" w:lineRule="auto"/>
        <w:ind w:left="567" w:hanging="425"/>
        <w:rPr>
          <w:rFonts w:ascii="宋体" w:hAnsi="宋体" w:cs="Arial"/>
          <w:color w:val="000000" w:themeColor="text1"/>
          <w:spacing w:val="10"/>
          <w:sz w:val="24"/>
        </w:rPr>
      </w:pPr>
      <w:r>
        <w:rPr>
          <w:rFonts w:hint="eastAsia" w:ascii="宋体" w:hAnsi="宋体" w:cs="Arial"/>
          <w:color w:val="000000" w:themeColor="text1"/>
          <w:spacing w:val="10"/>
          <w:sz w:val="24"/>
        </w:rPr>
        <w:t>工程量清单核实：本工程实行合同范围内所有工作内容总价包干，投标人须根据承包范围及图纸自行核定招标人提供清单的完备性和准确性，若核定后认为招标人提供的清单存在量、项、清单描述等方面的差异，投标人须按照招标人所提供的清单格式另行填报工程量偏离清单并计入投标总价。否则，招标人将认为投标人完全接受招标人提供的工程量清单，无任何异议，结算时，除变更洽商、现场签证及暂估价材料等根据合同约定另行计算外其余部分造价不作调整。</w:t>
      </w:r>
    </w:p>
    <w:p>
      <w:pPr>
        <w:numPr>
          <w:ilvl w:val="0"/>
          <w:numId w:val="6"/>
        </w:numPr>
        <w:snapToGrid w:val="0"/>
        <w:spacing w:before="156" w:after="156" w:line="360" w:lineRule="auto"/>
        <w:ind w:left="567" w:hanging="425"/>
        <w:rPr>
          <w:rFonts w:ascii="宋体" w:hAnsi="宋体" w:cs="Arial"/>
          <w:color w:val="000000" w:themeColor="text1"/>
          <w:spacing w:val="10"/>
          <w:sz w:val="24"/>
        </w:rPr>
      </w:pPr>
      <w:r>
        <w:rPr>
          <w:rFonts w:hint="eastAsia" w:ascii="宋体" w:hAnsi="宋体" w:cs="Arial"/>
          <w:color w:val="000000" w:themeColor="text1"/>
          <w:spacing w:val="10"/>
          <w:sz w:val="24"/>
        </w:rPr>
        <w:t>投标人所提交的工程量清单的</w:t>
      </w:r>
      <w:r>
        <w:rPr>
          <w:rFonts w:ascii="宋体" w:hAnsi="宋体" w:cs="Arial"/>
          <w:color w:val="000000" w:themeColor="text1"/>
          <w:spacing w:val="10"/>
          <w:sz w:val="24"/>
        </w:rPr>
        <w:t>单项</w:t>
      </w:r>
      <w:r>
        <w:rPr>
          <w:rFonts w:hint="eastAsia" w:ascii="宋体" w:hAnsi="宋体" w:cs="Arial"/>
          <w:color w:val="000000" w:themeColor="text1"/>
          <w:spacing w:val="10"/>
          <w:sz w:val="24"/>
        </w:rPr>
        <w:t>工程汇总表金</w:t>
      </w:r>
      <w:r>
        <w:rPr>
          <w:rFonts w:ascii="宋体" w:hAnsi="宋体" w:cs="Arial"/>
          <w:color w:val="000000" w:themeColor="text1"/>
          <w:spacing w:val="10"/>
          <w:sz w:val="24"/>
        </w:rPr>
        <w:t>额</w:t>
      </w:r>
      <w:r>
        <w:rPr>
          <w:rFonts w:hint="eastAsia" w:ascii="宋体" w:hAnsi="宋体" w:cs="Arial"/>
          <w:color w:val="000000" w:themeColor="text1"/>
          <w:spacing w:val="10"/>
          <w:sz w:val="24"/>
        </w:rPr>
        <w:t>必须相等于投标承诺书内的投标价，两者不一致的，以投标承诺书上的大写金额为准。</w:t>
      </w:r>
    </w:p>
    <w:p>
      <w:pPr>
        <w:numPr>
          <w:ilvl w:val="0"/>
          <w:numId w:val="6"/>
        </w:numPr>
        <w:snapToGrid w:val="0"/>
        <w:spacing w:before="156" w:after="156" w:line="360" w:lineRule="auto"/>
        <w:ind w:left="567" w:hanging="425"/>
        <w:rPr>
          <w:rFonts w:ascii="宋体" w:hAnsi="宋体" w:cs="Arial"/>
          <w:color w:val="000000" w:themeColor="text1"/>
          <w:spacing w:val="10"/>
          <w:sz w:val="24"/>
        </w:rPr>
      </w:pPr>
      <w:r>
        <w:rPr>
          <w:rFonts w:hint="eastAsia" w:ascii="宋体" w:hAnsi="宋体" w:cs="Arial"/>
          <w:color w:val="000000" w:themeColor="text1"/>
          <w:spacing w:val="10"/>
          <w:sz w:val="24"/>
        </w:rPr>
        <w:t>一旦投标人对工程量清</w:t>
      </w:r>
      <w:r>
        <w:rPr>
          <w:rFonts w:ascii="宋体" w:hAnsi="宋体" w:cs="Arial"/>
          <w:color w:val="000000" w:themeColor="text1"/>
          <w:spacing w:val="10"/>
          <w:sz w:val="24"/>
        </w:rPr>
        <w:t>单</w:t>
      </w:r>
      <w:r>
        <w:rPr>
          <w:rFonts w:hint="eastAsia" w:ascii="宋体" w:hAnsi="宋体" w:cs="Arial"/>
          <w:color w:val="000000" w:themeColor="text1"/>
          <w:spacing w:val="10"/>
          <w:sz w:val="24"/>
        </w:rPr>
        <w:t>作出报价并为招标人接纳后，即被视为一份具有约束力的合同文件的一部分，同时它亦是招</w:t>
      </w:r>
      <w:r>
        <w:rPr>
          <w:rFonts w:ascii="宋体" w:hAnsi="宋体" w:cs="Arial"/>
          <w:color w:val="000000" w:themeColor="text1"/>
          <w:spacing w:val="10"/>
          <w:sz w:val="24"/>
        </w:rPr>
        <w:t>标</w:t>
      </w:r>
      <w:r>
        <w:rPr>
          <w:rFonts w:hint="eastAsia" w:ascii="宋体" w:hAnsi="宋体" w:cs="Arial"/>
          <w:color w:val="000000" w:themeColor="text1"/>
          <w:spacing w:val="10"/>
          <w:sz w:val="24"/>
        </w:rPr>
        <w:t>人对各投标人的报价进行评估的依据。人工费、材料费、机械费、管理费、规费、税金、利润等由投标人根据市场行情及企业经营状况和招标文件对工程质量的要求实行自主报价。</w:t>
      </w:r>
    </w:p>
    <w:p>
      <w:pPr>
        <w:numPr>
          <w:ilvl w:val="0"/>
          <w:numId w:val="7"/>
        </w:numPr>
        <w:spacing w:line="360" w:lineRule="auto"/>
        <w:outlineLvl w:val="2"/>
        <w:rPr>
          <w:rFonts w:ascii="宋体" w:hAnsi="宋体"/>
          <w:b/>
          <w:color w:val="000000" w:themeColor="text1"/>
          <w:sz w:val="24"/>
        </w:rPr>
      </w:pPr>
      <w:r>
        <w:rPr>
          <w:rFonts w:hint="eastAsia" w:ascii="宋体" w:hAnsi="宋体"/>
          <w:b/>
          <w:color w:val="000000" w:themeColor="text1"/>
          <w:sz w:val="24"/>
        </w:rPr>
        <w:t>投标文件的密封</w:t>
      </w:r>
    </w:p>
    <w:p>
      <w:pPr>
        <w:spacing w:line="360" w:lineRule="auto"/>
        <w:rPr>
          <w:rFonts w:ascii="宋体" w:hAnsi="宋体"/>
          <w:color w:val="000000" w:themeColor="text1"/>
          <w:sz w:val="24"/>
        </w:rPr>
      </w:pPr>
      <w:r>
        <w:rPr>
          <w:rFonts w:hint="eastAsia" w:ascii="宋体" w:hAnsi="宋体"/>
          <w:color w:val="000000" w:themeColor="text1"/>
          <w:sz w:val="24"/>
        </w:rPr>
        <w:t>10.1投标文件袋使用 “资信部分”、“报价部分”以及“投标文件部分装入投标文件大袋，密封并加盖投标人法人印章和公章。”。</w:t>
      </w:r>
    </w:p>
    <w:p>
      <w:pPr>
        <w:spacing w:line="360" w:lineRule="auto"/>
        <w:rPr>
          <w:rFonts w:ascii="宋体" w:hAnsi="宋体" w:cs="Arial"/>
          <w:color w:val="000000" w:themeColor="text1"/>
          <w:spacing w:val="10"/>
          <w:sz w:val="24"/>
        </w:rPr>
      </w:pPr>
      <w:r>
        <w:rPr>
          <w:rFonts w:hint="eastAsia" w:ascii="宋体" w:hAnsi="宋体"/>
          <w:color w:val="000000" w:themeColor="text1"/>
          <w:sz w:val="24"/>
        </w:rPr>
        <w:t>10.2如果投标文件没有按本须知规定密封，该投标文件将被认定为无效投标文件。该投标文件将被拒绝接收，并原封退还给投标人。</w:t>
      </w:r>
    </w:p>
    <w:p>
      <w:pPr>
        <w:spacing w:line="360" w:lineRule="auto"/>
        <w:rPr>
          <w:rFonts w:ascii="宋体" w:hAnsi="宋体"/>
          <w:color w:val="000000" w:themeColor="text1"/>
          <w:sz w:val="24"/>
        </w:rPr>
      </w:pPr>
      <w:r>
        <w:rPr>
          <w:rFonts w:ascii="宋体" w:hAnsi="宋体"/>
          <w:color w:val="000000" w:themeColor="text1"/>
          <w:sz w:val="24"/>
        </w:rPr>
        <w:t xml:space="preserve"> </w:t>
      </w:r>
    </w:p>
    <w:p>
      <w:pPr>
        <w:pStyle w:val="2"/>
        <w:spacing w:line="360" w:lineRule="auto"/>
        <w:rPr>
          <w:rFonts w:ascii="宋体" w:hAnsi="宋体" w:eastAsia="宋体"/>
          <w:bCs w:val="0"/>
          <w:color w:val="000000" w:themeColor="text1"/>
          <w:szCs w:val="32"/>
        </w:rPr>
      </w:pPr>
      <w:bookmarkStart w:id="18" w:name="_Toc233622074"/>
      <w:bookmarkStart w:id="19" w:name="_Toc118120361"/>
      <w:r>
        <w:rPr>
          <w:rFonts w:hint="eastAsia" w:ascii="宋体" w:hAnsi="宋体" w:eastAsia="宋体"/>
          <w:bCs w:val="0"/>
          <w:color w:val="000000" w:themeColor="text1"/>
          <w:szCs w:val="32"/>
        </w:rPr>
        <w:t>第五章  投标文件的评审</w:t>
      </w:r>
      <w:bookmarkEnd w:id="18"/>
      <w:bookmarkEnd w:id="19"/>
    </w:p>
    <w:p>
      <w:pPr>
        <w:numPr>
          <w:ilvl w:val="0"/>
          <w:numId w:val="7"/>
        </w:numPr>
        <w:spacing w:line="360" w:lineRule="auto"/>
        <w:outlineLvl w:val="2"/>
        <w:rPr>
          <w:rFonts w:ascii="宋体" w:hAnsi="宋体"/>
          <w:b/>
          <w:color w:val="000000" w:themeColor="text1"/>
          <w:sz w:val="24"/>
        </w:rPr>
      </w:pPr>
      <w:r>
        <w:rPr>
          <w:rFonts w:hint="eastAsia" w:ascii="宋体" w:hAnsi="宋体"/>
          <w:b/>
          <w:color w:val="000000" w:themeColor="text1"/>
          <w:sz w:val="24"/>
        </w:rPr>
        <w:t>评审</w:t>
      </w:r>
    </w:p>
    <w:p>
      <w:pPr>
        <w:pStyle w:val="24"/>
        <w:numPr>
          <w:ilvl w:val="1"/>
          <w:numId w:val="7"/>
        </w:numPr>
        <w:tabs>
          <w:tab w:val="left" w:pos="709"/>
        </w:tabs>
        <w:spacing w:line="360" w:lineRule="auto"/>
        <w:ind w:left="709" w:hanging="709" w:firstLineChars="0"/>
        <w:rPr>
          <w:rFonts w:ascii="宋体" w:hAnsi="宋体" w:cs="宋体"/>
          <w:color w:val="000000" w:themeColor="text1"/>
          <w:kern w:val="0"/>
          <w:sz w:val="24"/>
        </w:rPr>
      </w:pPr>
      <w:r>
        <w:rPr>
          <w:rFonts w:hint="eastAsia" w:ascii="宋体" w:hAnsi="宋体" w:cs="宋体"/>
          <w:color w:val="000000" w:themeColor="text1"/>
          <w:kern w:val="0"/>
          <w:sz w:val="24"/>
        </w:rPr>
        <w:t>由招标人组织组成评审组，负责本工程的评审工作。</w:t>
      </w:r>
    </w:p>
    <w:p>
      <w:pPr>
        <w:numPr>
          <w:ilvl w:val="1"/>
          <w:numId w:val="7"/>
        </w:numPr>
        <w:spacing w:line="360" w:lineRule="auto"/>
        <w:ind w:left="708" w:hanging="708" w:hangingChars="295"/>
        <w:rPr>
          <w:rFonts w:ascii="宋体" w:hAnsi="宋体"/>
          <w:color w:val="000000" w:themeColor="text1"/>
          <w:sz w:val="24"/>
        </w:rPr>
      </w:pPr>
      <w:r>
        <w:rPr>
          <w:rFonts w:hint="eastAsia" w:ascii="宋体" w:hAnsi="宋体"/>
          <w:color w:val="000000" w:themeColor="text1"/>
          <w:sz w:val="24"/>
        </w:rPr>
        <w:t>在投标文件的评审、比较以及合同授予的过程中，投标人如任何企图向招标人和评标组及其成员施加影响或压力的行为，都将会导致其投标被拒绝。</w:t>
      </w:r>
    </w:p>
    <w:p>
      <w:pPr>
        <w:numPr>
          <w:ilvl w:val="1"/>
          <w:numId w:val="7"/>
        </w:numPr>
        <w:spacing w:line="360" w:lineRule="auto"/>
        <w:ind w:left="708" w:hanging="708" w:hangingChars="295"/>
        <w:rPr>
          <w:rFonts w:ascii="宋体" w:hAnsi="宋体"/>
          <w:color w:val="000000" w:themeColor="text1"/>
          <w:sz w:val="24"/>
        </w:rPr>
      </w:pPr>
      <w:r>
        <w:rPr>
          <w:rFonts w:hint="eastAsia" w:ascii="宋体" w:hAnsi="宋体"/>
          <w:color w:val="000000" w:themeColor="text1"/>
          <w:sz w:val="24"/>
        </w:rPr>
        <w:t>为了有助于投标文件的审查、评价和比较，评审组可以用书面形式要求投标人对投标文件含义不明确的内容作必要的澄清或说明。有关澄清、说明与答复，投标人应以书面形式进行。</w:t>
      </w:r>
    </w:p>
    <w:p>
      <w:pPr>
        <w:numPr>
          <w:ilvl w:val="0"/>
          <w:numId w:val="7"/>
        </w:numPr>
        <w:spacing w:line="360" w:lineRule="auto"/>
        <w:outlineLvl w:val="2"/>
        <w:rPr>
          <w:rFonts w:ascii="宋体" w:hAnsi="宋体"/>
          <w:b/>
          <w:color w:val="000000" w:themeColor="text1"/>
          <w:sz w:val="24"/>
        </w:rPr>
      </w:pPr>
      <w:r>
        <w:rPr>
          <w:rFonts w:hint="eastAsia" w:ascii="宋体" w:hAnsi="宋体"/>
          <w:b/>
          <w:color w:val="000000" w:themeColor="text1"/>
          <w:sz w:val="24"/>
        </w:rPr>
        <w:t>定标</w:t>
      </w:r>
    </w:p>
    <w:p>
      <w:pPr>
        <w:spacing w:line="360" w:lineRule="auto"/>
        <w:ind w:left="568" w:leftChars="1" w:hanging="566" w:hangingChars="236"/>
        <w:rPr>
          <w:rFonts w:ascii="宋体" w:hAnsi="宋体"/>
          <w:color w:val="000000" w:themeColor="text1"/>
          <w:sz w:val="24"/>
        </w:rPr>
      </w:pPr>
      <w:r>
        <w:rPr>
          <w:rFonts w:hint="eastAsia" w:ascii="宋体" w:hAnsi="宋体"/>
          <w:color w:val="000000" w:themeColor="text1"/>
          <w:sz w:val="24"/>
        </w:rPr>
        <w:t>12.1定标原则为对邀请合格的入围投标人进行议标。议标后，议标单位进行密封报价，并按照“合理最低价 ”原则确定中标单位。</w:t>
      </w:r>
    </w:p>
    <w:p>
      <w:pPr>
        <w:spacing w:line="360" w:lineRule="auto"/>
        <w:ind w:left="568" w:leftChars="1" w:hanging="566" w:hangingChars="236"/>
        <w:rPr>
          <w:rFonts w:ascii="宋体" w:hAnsi="宋体"/>
          <w:color w:val="000000" w:themeColor="text1"/>
          <w:sz w:val="24"/>
        </w:rPr>
      </w:pPr>
      <w:r>
        <w:rPr>
          <w:rFonts w:hint="eastAsia" w:ascii="宋体" w:hAnsi="宋体"/>
          <w:color w:val="000000" w:themeColor="text1"/>
          <w:sz w:val="24"/>
        </w:rPr>
        <w:t>12.2无因加价:</w:t>
      </w:r>
      <w:r>
        <w:rPr>
          <w:rFonts w:ascii="宋体" w:hAnsi="宋体"/>
          <w:color w:val="000000" w:themeColor="text1"/>
          <w:sz w:val="24"/>
        </w:rPr>
        <w:t>在议标过程中，如果</w:t>
      </w:r>
      <w:r>
        <w:rPr>
          <w:rFonts w:hint="eastAsia" w:ascii="宋体" w:hAnsi="宋体"/>
          <w:color w:val="000000" w:themeColor="text1"/>
          <w:sz w:val="24"/>
        </w:rPr>
        <w:t>招标</w:t>
      </w:r>
      <w:r>
        <w:rPr>
          <w:rFonts w:ascii="宋体" w:hAnsi="宋体"/>
          <w:color w:val="000000" w:themeColor="text1"/>
          <w:sz w:val="24"/>
        </w:rPr>
        <w:t>人并未增加工作内容、扩大承包范围、提高工艺和材料档次，也未提出实质性加重了投标人责任的条款，而投标人无理由上调投标总价的，视为无因加价；</w:t>
      </w:r>
    </w:p>
    <w:p>
      <w:pPr>
        <w:spacing w:line="360" w:lineRule="auto"/>
        <w:ind w:left="568" w:leftChars="1" w:hanging="566" w:hangingChars="236"/>
        <w:rPr>
          <w:rFonts w:ascii="宋体" w:hAnsi="宋体"/>
          <w:color w:val="000000" w:themeColor="text1"/>
          <w:sz w:val="24"/>
        </w:rPr>
      </w:pPr>
      <w:r>
        <w:rPr>
          <w:rFonts w:hint="eastAsia" w:ascii="宋体" w:hAnsi="宋体"/>
          <w:color w:val="000000" w:themeColor="text1"/>
          <w:sz w:val="24"/>
        </w:rPr>
        <w:t>12.3无因降价:在没有缩小工程发包范围和减轻施工单位责任的情况下，大幅度降低原始投标总价视为无因降价，“大幅度”的定义为降低绝对金额超过10%（最终报价与首轮报价对比）；</w:t>
      </w:r>
    </w:p>
    <w:p>
      <w:pPr>
        <w:spacing w:line="360" w:lineRule="auto"/>
        <w:ind w:left="568" w:leftChars="1" w:hanging="566" w:hangingChars="236"/>
        <w:rPr>
          <w:rFonts w:ascii="宋体" w:hAnsi="宋体"/>
          <w:color w:val="000000" w:themeColor="text1"/>
          <w:sz w:val="24"/>
        </w:rPr>
      </w:pPr>
      <w:r>
        <w:rPr>
          <w:rFonts w:hint="eastAsia" w:ascii="宋体" w:hAnsi="宋体"/>
          <w:color w:val="000000" w:themeColor="text1"/>
          <w:sz w:val="24"/>
        </w:rPr>
        <w:t>12.4</w:t>
      </w:r>
      <w:r>
        <w:rPr>
          <w:rFonts w:ascii="宋体" w:hAnsi="宋体"/>
          <w:color w:val="000000" w:themeColor="text1"/>
          <w:sz w:val="24"/>
        </w:rPr>
        <w:t>在投标过程中出现无因加价</w:t>
      </w:r>
      <w:r>
        <w:rPr>
          <w:rFonts w:hint="eastAsia" w:ascii="宋体" w:hAnsi="宋体"/>
          <w:color w:val="000000" w:themeColor="text1"/>
          <w:sz w:val="24"/>
        </w:rPr>
        <w:t>和无因降价</w:t>
      </w:r>
      <w:r>
        <w:rPr>
          <w:rFonts w:ascii="宋体" w:hAnsi="宋体"/>
          <w:color w:val="000000" w:themeColor="text1"/>
          <w:sz w:val="24"/>
        </w:rPr>
        <w:t>的投标人将</w:t>
      </w:r>
      <w:r>
        <w:rPr>
          <w:rFonts w:hint="eastAsia" w:ascii="宋体" w:hAnsi="宋体"/>
          <w:color w:val="000000" w:themeColor="text1"/>
          <w:sz w:val="24"/>
        </w:rPr>
        <w:t>无优先</w:t>
      </w:r>
      <w:r>
        <w:rPr>
          <w:rFonts w:ascii="宋体" w:hAnsi="宋体"/>
          <w:color w:val="000000" w:themeColor="text1"/>
          <w:sz w:val="24"/>
        </w:rPr>
        <w:t>中标</w:t>
      </w:r>
      <w:r>
        <w:rPr>
          <w:rFonts w:hint="eastAsia" w:ascii="宋体" w:hAnsi="宋体"/>
          <w:color w:val="000000" w:themeColor="text1"/>
          <w:sz w:val="24"/>
        </w:rPr>
        <w:t>权，投标人对此不得有任何异议。</w:t>
      </w:r>
    </w:p>
    <w:p>
      <w:pPr>
        <w:spacing w:line="360" w:lineRule="auto"/>
        <w:ind w:left="568" w:leftChars="1" w:hanging="566" w:hangingChars="236"/>
        <w:rPr>
          <w:rFonts w:ascii="宋体" w:hAnsi="宋体"/>
          <w:color w:val="000000" w:themeColor="text1"/>
          <w:sz w:val="24"/>
        </w:rPr>
      </w:pPr>
      <w:r>
        <w:rPr>
          <w:rFonts w:hint="eastAsia" w:ascii="宋体" w:hAnsi="宋体"/>
          <w:color w:val="000000" w:themeColor="text1"/>
          <w:sz w:val="24"/>
        </w:rPr>
        <w:t>12.5为确保自身权利，务必请各投标人在投标报价时结合自身条件、本工程影响投标价格的各种因素及其它因素，并经过仔细慎密考虑后进行报价，以确保投标报价最具竞争力。对没有选中的投标人，招标人不作任何解释，也不作任何补偿，请谅解。如果中标人因故放弃中标、因不可抗力提出不能履行合同，招标人可以重新确定中标人。</w:t>
      </w:r>
    </w:p>
    <w:p>
      <w:pPr>
        <w:numPr>
          <w:ilvl w:val="0"/>
          <w:numId w:val="7"/>
        </w:numPr>
        <w:spacing w:line="360" w:lineRule="auto"/>
        <w:outlineLvl w:val="2"/>
        <w:rPr>
          <w:rFonts w:ascii="宋体" w:hAnsi="宋体"/>
          <w:b/>
          <w:color w:val="000000" w:themeColor="text1"/>
          <w:sz w:val="24"/>
        </w:rPr>
      </w:pPr>
      <w:r>
        <w:rPr>
          <w:rFonts w:hint="eastAsia" w:ascii="宋体" w:hAnsi="宋体"/>
          <w:b/>
          <w:color w:val="000000" w:themeColor="text1"/>
          <w:sz w:val="24"/>
        </w:rPr>
        <w:t>合同协议书的签订</w:t>
      </w:r>
    </w:p>
    <w:p>
      <w:pPr>
        <w:numPr>
          <w:ilvl w:val="1"/>
          <w:numId w:val="7"/>
        </w:numPr>
        <w:spacing w:line="360" w:lineRule="auto"/>
        <w:ind w:left="708" w:hanging="708" w:hangingChars="295"/>
        <w:rPr>
          <w:rFonts w:ascii="宋体" w:hAnsi="宋体"/>
          <w:color w:val="000000" w:themeColor="text1"/>
          <w:sz w:val="24"/>
        </w:rPr>
      </w:pPr>
      <w:r>
        <w:rPr>
          <w:rFonts w:hint="eastAsia" w:ascii="宋体" w:hAnsi="宋体"/>
          <w:color w:val="000000" w:themeColor="text1"/>
          <w:sz w:val="24"/>
        </w:rPr>
        <w:t>招标人发出中标通知书之日起10日内，中标人需与招标人按照招标文件第二部分合同文件的约定和中标人签订合同；</w:t>
      </w:r>
    </w:p>
    <w:p>
      <w:pPr>
        <w:numPr>
          <w:ilvl w:val="1"/>
          <w:numId w:val="7"/>
        </w:numPr>
        <w:spacing w:line="360" w:lineRule="auto"/>
        <w:ind w:left="708" w:hanging="708" w:hangingChars="295"/>
        <w:rPr>
          <w:rFonts w:ascii="宋体" w:hAnsi="宋体"/>
          <w:color w:val="000000" w:themeColor="text1"/>
          <w:sz w:val="24"/>
        </w:rPr>
      </w:pPr>
      <w:r>
        <w:rPr>
          <w:rFonts w:hint="eastAsia" w:ascii="宋体" w:hAnsi="宋体"/>
          <w:color w:val="000000" w:themeColor="text1"/>
          <w:sz w:val="24"/>
        </w:rPr>
        <w:t>中标人如不按本须知的规定签订合同，招标人有权取消其中标资格，并没收其投标保证金，对因此给招标人造成的损失超过投标保证金的，还应当对超过部分予以赔偿，同时依法承担相应的法律责任。</w:t>
      </w:r>
    </w:p>
    <w:p>
      <w:pPr>
        <w:pStyle w:val="2"/>
        <w:spacing w:line="360" w:lineRule="auto"/>
        <w:rPr>
          <w:rFonts w:ascii="宋体" w:hAnsi="宋体" w:eastAsia="宋体"/>
          <w:bCs w:val="0"/>
          <w:color w:val="000000" w:themeColor="text1"/>
          <w:szCs w:val="32"/>
        </w:rPr>
      </w:pPr>
      <w:bookmarkStart w:id="20" w:name="_Toc233622075"/>
      <w:r>
        <w:rPr>
          <w:rFonts w:hint="eastAsia" w:ascii="宋体" w:hAnsi="宋体" w:eastAsia="宋体"/>
          <w:bCs w:val="0"/>
          <w:color w:val="000000" w:themeColor="text1"/>
          <w:szCs w:val="32"/>
        </w:rPr>
        <w:t>第六章 其它说明</w:t>
      </w:r>
      <w:bookmarkEnd w:id="20"/>
    </w:p>
    <w:p>
      <w:pPr>
        <w:numPr>
          <w:ilvl w:val="0"/>
          <w:numId w:val="7"/>
        </w:numPr>
        <w:spacing w:line="360" w:lineRule="auto"/>
        <w:outlineLvl w:val="2"/>
        <w:rPr>
          <w:rFonts w:ascii="宋体" w:hAnsi="宋体"/>
          <w:b/>
          <w:color w:val="000000" w:themeColor="text1"/>
          <w:sz w:val="24"/>
        </w:rPr>
      </w:pPr>
      <w:r>
        <w:rPr>
          <w:rFonts w:hint="eastAsia" w:ascii="宋体" w:hAnsi="宋体"/>
          <w:b/>
          <w:color w:val="000000" w:themeColor="text1"/>
          <w:sz w:val="24"/>
        </w:rPr>
        <w:t>投标费用</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投标人应承担其现场勘查、编制投标文件与递交投标文件所涉及的一切费用。不论报价结果如何，招标人在任何情况下均不承担这些费用。</w:t>
      </w:r>
    </w:p>
    <w:p>
      <w:pPr>
        <w:numPr>
          <w:ilvl w:val="0"/>
          <w:numId w:val="7"/>
        </w:numPr>
        <w:spacing w:line="360" w:lineRule="auto"/>
        <w:outlineLvl w:val="2"/>
        <w:rPr>
          <w:rFonts w:ascii="宋体" w:hAnsi="宋体"/>
          <w:b/>
          <w:color w:val="000000" w:themeColor="text1"/>
          <w:sz w:val="24"/>
        </w:rPr>
      </w:pPr>
      <w:r>
        <w:rPr>
          <w:rFonts w:hint="eastAsia" w:ascii="宋体" w:hAnsi="宋体"/>
          <w:b/>
          <w:color w:val="000000" w:themeColor="text1"/>
          <w:sz w:val="24"/>
        </w:rPr>
        <w:t>投标文件的语言及度量衡单位</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招标人与投标人之间与报价有关的所有往来通知、函件和投标文件均应采用中文语言或文字。投标人随投标文件提供的证明文件和资料可以为其它语言，但必须附中文译文作为解释的依据。本工程的投标报价应以人民币计价。</w:t>
      </w:r>
    </w:p>
    <w:p>
      <w:pPr>
        <w:numPr>
          <w:ilvl w:val="0"/>
          <w:numId w:val="7"/>
        </w:numPr>
        <w:spacing w:line="360" w:lineRule="auto"/>
        <w:outlineLvl w:val="2"/>
        <w:rPr>
          <w:rFonts w:ascii="宋体" w:hAnsi="宋体"/>
          <w:b/>
          <w:color w:val="000000" w:themeColor="text1"/>
          <w:sz w:val="24"/>
        </w:rPr>
      </w:pPr>
      <w:r>
        <w:rPr>
          <w:rFonts w:hint="eastAsia" w:ascii="宋体" w:hAnsi="宋体"/>
          <w:b/>
          <w:color w:val="000000" w:themeColor="text1"/>
          <w:sz w:val="24"/>
        </w:rPr>
        <w:t>投标文件的格式及其签署</w:t>
      </w:r>
    </w:p>
    <w:p>
      <w:pPr>
        <w:numPr>
          <w:ilvl w:val="1"/>
          <w:numId w:val="7"/>
        </w:numPr>
        <w:spacing w:line="360" w:lineRule="auto"/>
        <w:ind w:left="708" w:hanging="708" w:hangingChars="295"/>
        <w:rPr>
          <w:rFonts w:ascii="宋体" w:hAnsi="宋体"/>
          <w:color w:val="000000" w:themeColor="text1"/>
          <w:sz w:val="24"/>
        </w:rPr>
      </w:pPr>
      <w:r>
        <w:rPr>
          <w:rFonts w:hint="eastAsia" w:ascii="宋体" w:hAnsi="宋体"/>
          <w:color w:val="000000" w:themeColor="text1"/>
          <w:sz w:val="24"/>
        </w:rPr>
        <w:t>投标人提交的投标文件必须毫无例外地使用招标文件所提供的报价格式（表格可以按同样格式扩展）。</w:t>
      </w:r>
    </w:p>
    <w:p>
      <w:pPr>
        <w:numPr>
          <w:ilvl w:val="1"/>
          <w:numId w:val="7"/>
        </w:numPr>
        <w:spacing w:line="360" w:lineRule="auto"/>
        <w:ind w:left="708" w:hanging="708" w:hangingChars="295"/>
        <w:rPr>
          <w:rFonts w:ascii="宋体" w:hAnsi="宋体"/>
          <w:color w:val="000000" w:themeColor="text1"/>
          <w:sz w:val="24"/>
        </w:rPr>
      </w:pPr>
      <w:r>
        <w:rPr>
          <w:rFonts w:hint="eastAsia" w:ascii="宋体" w:hAnsi="宋体"/>
          <w:color w:val="000000" w:themeColor="text1"/>
          <w:sz w:val="24"/>
        </w:rPr>
        <w:t>投标文件的文字除必须填写的内容外均需采用打印。必须填写的内容使用不褪色的蓝/黑墨水笔用中文简体书写，字迹应工整、清晰易于辨认。</w:t>
      </w:r>
    </w:p>
    <w:p>
      <w:pPr>
        <w:numPr>
          <w:ilvl w:val="1"/>
          <w:numId w:val="7"/>
        </w:numPr>
        <w:spacing w:line="360" w:lineRule="auto"/>
        <w:ind w:left="708" w:hanging="708" w:hangingChars="295"/>
        <w:rPr>
          <w:rFonts w:ascii="宋体" w:hAnsi="宋体"/>
          <w:color w:val="000000" w:themeColor="text1"/>
          <w:sz w:val="24"/>
        </w:rPr>
      </w:pPr>
      <w:r>
        <w:rPr>
          <w:rFonts w:hint="eastAsia" w:ascii="宋体" w:hAnsi="宋体"/>
          <w:color w:val="000000" w:themeColor="text1"/>
          <w:sz w:val="24"/>
        </w:rPr>
        <w:t>报价部分应按本招标文件统一格式，完善投标人法定代表人或其授权代表人签字（章），并加盖投标人公章，否则，其报价无效。</w:t>
      </w:r>
    </w:p>
    <w:p>
      <w:pPr>
        <w:numPr>
          <w:ilvl w:val="0"/>
          <w:numId w:val="7"/>
        </w:numPr>
        <w:spacing w:line="360" w:lineRule="auto"/>
        <w:outlineLvl w:val="2"/>
        <w:rPr>
          <w:rFonts w:ascii="宋体" w:hAnsi="宋体"/>
          <w:b/>
          <w:color w:val="000000" w:themeColor="text1"/>
          <w:sz w:val="24"/>
        </w:rPr>
      </w:pPr>
      <w:r>
        <w:rPr>
          <w:rFonts w:hint="eastAsia" w:ascii="宋体" w:hAnsi="宋体"/>
          <w:b/>
          <w:color w:val="000000" w:themeColor="text1"/>
          <w:sz w:val="24"/>
        </w:rPr>
        <w:t>踏勘现场</w:t>
      </w:r>
    </w:p>
    <w:p>
      <w:pPr>
        <w:numPr>
          <w:ilvl w:val="1"/>
          <w:numId w:val="7"/>
        </w:numPr>
        <w:spacing w:line="360" w:lineRule="auto"/>
        <w:ind w:left="708" w:hanging="708" w:hangingChars="295"/>
        <w:rPr>
          <w:rFonts w:ascii="宋体" w:hAnsi="宋体"/>
          <w:color w:val="000000" w:themeColor="text1"/>
          <w:sz w:val="24"/>
        </w:rPr>
      </w:pPr>
      <w:r>
        <w:rPr>
          <w:rFonts w:hint="eastAsia" w:ascii="宋体" w:hAnsi="宋体"/>
          <w:color w:val="000000" w:themeColor="text1"/>
          <w:sz w:val="24"/>
        </w:rPr>
        <w:t>投标人应按本须知规定的时间、地点参加工程现场及周围环境踏勘，以便获取投标人须自己负责的有关编制投标文件和签署合同所需的所有资料。无论投标人是否踏勘过现场，均被认为在递交投标文件之前已经踏勘现场，对本合同项目的风险和义务已经十分了解，并在其投标文件中已充分考虑了现场和环境条件。踏勘现场所发生的费用和责任由投标人自行承担。</w:t>
      </w:r>
    </w:p>
    <w:p>
      <w:pPr>
        <w:numPr>
          <w:ilvl w:val="1"/>
          <w:numId w:val="7"/>
        </w:numPr>
        <w:spacing w:line="360" w:lineRule="auto"/>
        <w:ind w:left="708" w:hanging="708" w:hangingChars="295"/>
        <w:rPr>
          <w:rFonts w:ascii="宋体" w:hAnsi="宋体"/>
          <w:color w:val="000000" w:themeColor="text1"/>
          <w:sz w:val="24"/>
        </w:rPr>
      </w:pPr>
      <w:r>
        <w:rPr>
          <w:rFonts w:hint="eastAsia" w:ascii="宋体" w:hAnsi="宋体"/>
          <w:color w:val="000000" w:themeColor="text1"/>
          <w:sz w:val="24"/>
        </w:rPr>
        <w:t>招标人向投标人提供的有关现场的资料和数据，是招标人现有的能提供投标人参考的资料，招标人对投标人由此做出的推论、理解和结论概不负责；</w:t>
      </w:r>
    </w:p>
    <w:p>
      <w:pPr>
        <w:numPr>
          <w:ilvl w:val="1"/>
          <w:numId w:val="7"/>
        </w:numPr>
        <w:spacing w:line="360" w:lineRule="auto"/>
        <w:ind w:left="708" w:hanging="708" w:hangingChars="295"/>
        <w:rPr>
          <w:rFonts w:ascii="宋体" w:hAnsi="宋体"/>
          <w:color w:val="000000" w:themeColor="text1"/>
          <w:sz w:val="24"/>
        </w:rPr>
      </w:pPr>
      <w:r>
        <w:rPr>
          <w:rFonts w:hint="eastAsia" w:ascii="宋体" w:hAnsi="宋体"/>
          <w:color w:val="000000" w:themeColor="text1"/>
          <w:sz w:val="24"/>
        </w:rPr>
        <w:t>投标人及其人员经过招标人的允许，可因踏勘目的进入投标人的工程现场，但投标人及其人员不得因此使招标人及其人员承担有关的责任和蒙受损失，同时投标人应对由此次踏勘现场而造成的人员死亡、人身伤害、财产损失、损害以及任何其它损失、损害和引起的费用和开支承担责任；</w:t>
      </w:r>
    </w:p>
    <w:p>
      <w:pPr>
        <w:numPr>
          <w:ilvl w:val="1"/>
          <w:numId w:val="7"/>
        </w:numPr>
        <w:spacing w:line="360" w:lineRule="auto"/>
        <w:ind w:left="708" w:hanging="708" w:hangingChars="295"/>
        <w:rPr>
          <w:rFonts w:ascii="宋体" w:hAnsi="宋体"/>
          <w:color w:val="000000" w:themeColor="text1"/>
          <w:sz w:val="24"/>
        </w:rPr>
      </w:pPr>
      <w:r>
        <w:rPr>
          <w:rFonts w:hint="eastAsia" w:ascii="宋体" w:hAnsi="宋体"/>
          <w:color w:val="000000" w:themeColor="text1"/>
          <w:sz w:val="24"/>
        </w:rPr>
        <w:t>如果投标人认为需要再次进行现场踏勘，招标人将尽可能予以支持，但所发生的费用和责任由投标人承担。</w:t>
      </w:r>
    </w:p>
    <w:p>
      <w:pPr>
        <w:numPr>
          <w:ilvl w:val="0"/>
          <w:numId w:val="7"/>
        </w:numPr>
        <w:spacing w:line="360" w:lineRule="auto"/>
        <w:outlineLvl w:val="2"/>
        <w:rPr>
          <w:rFonts w:ascii="宋体" w:hAnsi="宋体"/>
          <w:b/>
          <w:color w:val="000000" w:themeColor="text1"/>
          <w:sz w:val="24"/>
        </w:rPr>
      </w:pPr>
      <w:r>
        <w:rPr>
          <w:rFonts w:hint="eastAsia" w:ascii="宋体" w:hAnsi="宋体"/>
          <w:b/>
          <w:color w:val="000000" w:themeColor="text1"/>
          <w:sz w:val="24"/>
        </w:rPr>
        <w:t>投标有效期</w:t>
      </w:r>
    </w:p>
    <w:p>
      <w:pPr>
        <w:numPr>
          <w:ilvl w:val="1"/>
          <w:numId w:val="7"/>
        </w:numPr>
        <w:spacing w:line="360" w:lineRule="auto"/>
        <w:ind w:left="708" w:hanging="708" w:hangingChars="295"/>
        <w:rPr>
          <w:rFonts w:ascii="宋体" w:hAnsi="宋体"/>
          <w:color w:val="000000" w:themeColor="text1"/>
          <w:sz w:val="24"/>
        </w:rPr>
      </w:pPr>
      <w:r>
        <w:rPr>
          <w:rFonts w:hint="eastAsia" w:ascii="宋体" w:hAnsi="宋体"/>
          <w:color w:val="000000" w:themeColor="text1"/>
          <w:sz w:val="24"/>
        </w:rPr>
        <w:t>投标文件有效期为投标截止期半年内，在此期限内，所有投标文件均保持有效；</w:t>
      </w:r>
    </w:p>
    <w:p>
      <w:pPr>
        <w:numPr>
          <w:ilvl w:val="1"/>
          <w:numId w:val="7"/>
        </w:numPr>
        <w:spacing w:line="360" w:lineRule="auto"/>
        <w:ind w:left="708" w:hanging="708" w:hangingChars="295"/>
        <w:rPr>
          <w:rFonts w:ascii="宋体" w:hAnsi="宋体"/>
          <w:color w:val="000000" w:themeColor="text1"/>
          <w:sz w:val="24"/>
        </w:rPr>
      </w:pPr>
      <w:r>
        <w:rPr>
          <w:rFonts w:hint="eastAsia" w:ascii="宋体" w:hAnsi="宋体"/>
          <w:color w:val="000000" w:themeColor="text1"/>
          <w:sz w:val="24"/>
        </w:rPr>
        <w:t>在特殊情况下，招标人在原定投标文件有效期内可以根据需要向投标人提出延长投标文件有效期的要求，投标人应立即以传真等书面形式对此要求向招标人作出答复；投标人可以拒绝招标人的要求，而不会因此被没收投标保证金。同意延期的投标人应相应地延长投标保证金的有效期，但不得因此而提出修改投标文件的要求。在延长期内，本招标文件中关于投标保证金的退还与没收的规定仍然适用。</w:t>
      </w:r>
    </w:p>
    <w:p>
      <w:pPr>
        <w:numPr>
          <w:ilvl w:val="0"/>
          <w:numId w:val="7"/>
        </w:numPr>
        <w:spacing w:line="360" w:lineRule="auto"/>
        <w:outlineLvl w:val="2"/>
        <w:rPr>
          <w:rFonts w:ascii="宋体" w:hAnsi="宋体"/>
          <w:b/>
          <w:color w:val="000000" w:themeColor="text1"/>
          <w:sz w:val="24"/>
        </w:rPr>
      </w:pPr>
      <w:r>
        <w:rPr>
          <w:rFonts w:hint="eastAsia" w:ascii="宋体" w:hAnsi="宋体"/>
          <w:b/>
          <w:color w:val="000000" w:themeColor="text1"/>
          <w:sz w:val="24"/>
        </w:rPr>
        <w:t>无效投标</w:t>
      </w:r>
    </w:p>
    <w:p>
      <w:pPr>
        <w:numPr>
          <w:ilvl w:val="1"/>
          <w:numId w:val="7"/>
        </w:numPr>
        <w:spacing w:line="360" w:lineRule="auto"/>
        <w:ind w:left="708" w:hanging="708" w:hangingChars="295"/>
        <w:rPr>
          <w:rFonts w:ascii="宋体" w:hAnsi="宋体"/>
          <w:color w:val="000000" w:themeColor="text1"/>
          <w:sz w:val="24"/>
        </w:rPr>
      </w:pPr>
      <w:r>
        <w:rPr>
          <w:rFonts w:hint="eastAsia" w:ascii="宋体" w:hAnsi="宋体"/>
          <w:color w:val="000000" w:themeColor="text1"/>
          <w:sz w:val="24"/>
        </w:rPr>
        <w:t>投标文件有下列情况之一者视为无效（包括但不限于下列情况），对被认定无效文件的，招标人无须对投标人进行解释：</w:t>
      </w:r>
    </w:p>
    <w:p>
      <w:pPr>
        <w:numPr>
          <w:ilvl w:val="0"/>
          <w:numId w:val="8"/>
        </w:numPr>
        <w:tabs>
          <w:tab w:val="left" w:pos="567"/>
        </w:tabs>
        <w:snapToGrid w:val="0"/>
        <w:spacing w:line="360" w:lineRule="auto"/>
        <w:ind w:left="142" w:firstLine="0"/>
        <w:rPr>
          <w:rFonts w:ascii="宋体" w:hAnsi="宋体" w:cs="Arial"/>
          <w:color w:val="000000" w:themeColor="text1"/>
          <w:spacing w:val="10"/>
          <w:sz w:val="24"/>
        </w:rPr>
      </w:pPr>
      <w:r>
        <w:rPr>
          <w:rFonts w:hint="eastAsia" w:ascii="宋体" w:hAnsi="宋体" w:cs="Arial"/>
          <w:color w:val="000000" w:themeColor="text1"/>
          <w:spacing w:val="10"/>
          <w:sz w:val="24"/>
        </w:rPr>
        <w:t>投标文件未能按照规定包装、密封、盖章的；</w:t>
      </w:r>
    </w:p>
    <w:p>
      <w:pPr>
        <w:numPr>
          <w:ilvl w:val="0"/>
          <w:numId w:val="8"/>
        </w:numPr>
        <w:tabs>
          <w:tab w:val="left" w:pos="567"/>
        </w:tabs>
        <w:snapToGrid w:val="0"/>
        <w:spacing w:line="360" w:lineRule="auto"/>
        <w:ind w:left="142" w:firstLine="0"/>
        <w:rPr>
          <w:rFonts w:ascii="宋体" w:hAnsi="宋体" w:cs="Arial"/>
          <w:color w:val="000000" w:themeColor="text1"/>
          <w:spacing w:val="10"/>
          <w:sz w:val="24"/>
        </w:rPr>
      </w:pPr>
      <w:r>
        <w:rPr>
          <w:rFonts w:hint="eastAsia" w:ascii="宋体" w:hAnsi="宋体" w:cs="Arial"/>
          <w:color w:val="000000" w:themeColor="text1"/>
          <w:spacing w:val="10"/>
          <w:sz w:val="24"/>
        </w:rPr>
        <w:t>未能提供有效的企业法定代表人身份证明文件和授权委托文件的；</w:t>
      </w:r>
    </w:p>
    <w:p>
      <w:pPr>
        <w:numPr>
          <w:ilvl w:val="0"/>
          <w:numId w:val="8"/>
        </w:numPr>
        <w:tabs>
          <w:tab w:val="left" w:pos="567"/>
        </w:tabs>
        <w:snapToGrid w:val="0"/>
        <w:spacing w:line="360" w:lineRule="auto"/>
        <w:ind w:left="142" w:firstLine="0"/>
        <w:rPr>
          <w:rFonts w:ascii="宋体" w:hAnsi="宋体" w:cs="Arial"/>
          <w:color w:val="000000" w:themeColor="text1"/>
          <w:spacing w:val="10"/>
          <w:sz w:val="24"/>
        </w:rPr>
      </w:pPr>
      <w:r>
        <w:rPr>
          <w:rFonts w:hint="eastAsia" w:ascii="宋体" w:hAnsi="宋体" w:cs="Arial"/>
          <w:color w:val="000000" w:themeColor="text1"/>
          <w:spacing w:val="10"/>
          <w:sz w:val="24"/>
        </w:rPr>
        <w:t>投标文件内容不全或未按规定填写或字迹模糊、辨认不清或涂改未加盖公章确认的；</w:t>
      </w:r>
    </w:p>
    <w:p>
      <w:pPr>
        <w:numPr>
          <w:ilvl w:val="0"/>
          <w:numId w:val="8"/>
        </w:numPr>
        <w:tabs>
          <w:tab w:val="left" w:pos="567"/>
        </w:tabs>
        <w:snapToGrid w:val="0"/>
        <w:spacing w:line="360" w:lineRule="auto"/>
        <w:ind w:left="142" w:firstLine="0"/>
        <w:rPr>
          <w:rFonts w:ascii="宋体" w:hAnsi="宋体" w:cs="Arial"/>
          <w:color w:val="000000" w:themeColor="text1"/>
          <w:spacing w:val="10"/>
          <w:sz w:val="24"/>
        </w:rPr>
      </w:pPr>
      <w:r>
        <w:rPr>
          <w:rFonts w:hint="eastAsia" w:ascii="宋体" w:hAnsi="宋体" w:cs="Arial"/>
          <w:color w:val="000000" w:themeColor="text1"/>
          <w:spacing w:val="10"/>
          <w:sz w:val="24"/>
        </w:rPr>
        <w:t>投标文件未经企业法定代表人或其委托代理人签字或加盖公章的；</w:t>
      </w:r>
    </w:p>
    <w:p>
      <w:pPr>
        <w:numPr>
          <w:ilvl w:val="0"/>
          <w:numId w:val="8"/>
        </w:numPr>
        <w:tabs>
          <w:tab w:val="left" w:pos="567"/>
        </w:tabs>
        <w:snapToGrid w:val="0"/>
        <w:spacing w:line="360" w:lineRule="auto"/>
        <w:ind w:left="142" w:firstLine="0"/>
        <w:rPr>
          <w:rFonts w:ascii="宋体" w:hAnsi="宋体" w:cs="Arial"/>
          <w:color w:val="000000" w:themeColor="text1"/>
          <w:spacing w:val="10"/>
          <w:sz w:val="24"/>
        </w:rPr>
      </w:pPr>
      <w:r>
        <w:rPr>
          <w:rFonts w:hint="eastAsia" w:ascii="宋体" w:hAnsi="宋体" w:cs="Arial"/>
          <w:color w:val="000000" w:themeColor="text1"/>
          <w:spacing w:val="10"/>
          <w:sz w:val="24"/>
        </w:rPr>
        <w:t>投标文件逾期送达的；</w:t>
      </w:r>
    </w:p>
    <w:p>
      <w:pPr>
        <w:numPr>
          <w:ilvl w:val="0"/>
          <w:numId w:val="8"/>
        </w:numPr>
        <w:tabs>
          <w:tab w:val="left" w:pos="567"/>
        </w:tabs>
        <w:snapToGrid w:val="0"/>
        <w:spacing w:line="360" w:lineRule="auto"/>
        <w:ind w:left="142" w:firstLine="0"/>
        <w:rPr>
          <w:rFonts w:ascii="宋体" w:hAnsi="宋体" w:cs="Arial"/>
          <w:color w:val="000000" w:themeColor="text1"/>
          <w:spacing w:val="10"/>
          <w:sz w:val="24"/>
        </w:rPr>
      </w:pPr>
      <w:r>
        <w:rPr>
          <w:rFonts w:hint="eastAsia" w:ascii="宋体" w:hAnsi="宋体" w:cs="Arial"/>
          <w:color w:val="000000" w:themeColor="text1"/>
          <w:spacing w:val="10"/>
          <w:sz w:val="24"/>
        </w:rPr>
        <w:t>未按本招标文件规定在规定时限回复招标文件确认书或未按时交纳投标保证金的；</w:t>
      </w:r>
    </w:p>
    <w:p>
      <w:pPr>
        <w:numPr>
          <w:ilvl w:val="0"/>
          <w:numId w:val="8"/>
        </w:numPr>
        <w:tabs>
          <w:tab w:val="left" w:pos="567"/>
        </w:tabs>
        <w:snapToGrid w:val="0"/>
        <w:spacing w:line="360" w:lineRule="auto"/>
        <w:ind w:left="142" w:firstLine="0"/>
        <w:rPr>
          <w:rFonts w:ascii="宋体" w:hAnsi="宋体" w:cs="Arial"/>
          <w:color w:val="000000" w:themeColor="text1"/>
          <w:spacing w:val="10"/>
          <w:sz w:val="24"/>
        </w:rPr>
      </w:pPr>
      <w:r>
        <w:rPr>
          <w:rFonts w:hint="eastAsia" w:ascii="宋体" w:hAnsi="宋体" w:cs="Arial"/>
          <w:color w:val="000000" w:themeColor="text1"/>
          <w:spacing w:val="10"/>
          <w:sz w:val="24"/>
        </w:rPr>
        <w:t>其它未按本招标文件规定或严重违例的。</w:t>
      </w:r>
    </w:p>
    <w:p>
      <w:pPr>
        <w:numPr>
          <w:ilvl w:val="1"/>
          <w:numId w:val="7"/>
        </w:numPr>
        <w:spacing w:line="360" w:lineRule="auto"/>
        <w:ind w:left="708" w:hanging="708" w:hangingChars="295"/>
        <w:rPr>
          <w:rFonts w:ascii="宋体" w:hAnsi="宋体"/>
          <w:color w:val="000000" w:themeColor="text1"/>
          <w:sz w:val="24"/>
        </w:rPr>
      </w:pPr>
      <w:r>
        <w:rPr>
          <w:rFonts w:hint="eastAsia" w:ascii="宋体" w:hAnsi="宋体"/>
          <w:color w:val="000000" w:themeColor="text1"/>
          <w:sz w:val="24"/>
        </w:rPr>
        <w:t>投标人有下列行为者，招标人有权取消其报价资格：</w:t>
      </w:r>
    </w:p>
    <w:p>
      <w:pPr>
        <w:pStyle w:val="24"/>
        <w:numPr>
          <w:ilvl w:val="0"/>
          <w:numId w:val="9"/>
        </w:numPr>
        <w:snapToGrid w:val="0"/>
        <w:spacing w:line="360" w:lineRule="auto"/>
        <w:ind w:firstLineChars="0"/>
        <w:rPr>
          <w:rFonts w:ascii="宋体" w:hAnsi="宋体" w:cs="Arial"/>
          <w:color w:val="000000" w:themeColor="text1"/>
          <w:spacing w:val="10"/>
          <w:sz w:val="24"/>
        </w:rPr>
      </w:pPr>
      <w:r>
        <w:rPr>
          <w:rFonts w:hint="eastAsia" w:ascii="宋体" w:hAnsi="宋体" w:cs="Arial"/>
          <w:color w:val="000000" w:themeColor="text1"/>
          <w:spacing w:val="10"/>
          <w:sz w:val="24"/>
        </w:rPr>
        <w:t>投标人弄虚作假，串通报价、哄抬报价或虚报企业资质等；</w:t>
      </w:r>
    </w:p>
    <w:p>
      <w:pPr>
        <w:snapToGrid w:val="0"/>
        <w:spacing w:line="360" w:lineRule="auto"/>
        <w:rPr>
          <w:rFonts w:ascii="宋体" w:hAnsi="宋体" w:cs="Arial"/>
          <w:color w:val="000000" w:themeColor="text1"/>
          <w:spacing w:val="10"/>
          <w:sz w:val="24"/>
        </w:rPr>
      </w:pPr>
      <w:r>
        <w:rPr>
          <w:rFonts w:hint="eastAsia" w:ascii="宋体" w:hAnsi="宋体" w:cs="Arial"/>
          <w:color w:val="000000" w:themeColor="text1"/>
          <w:spacing w:val="10"/>
          <w:sz w:val="24"/>
        </w:rPr>
        <w:t>（2）投标人在投标期间向有关人员行贿或以其它手段谋取不正当利益。</w:t>
      </w:r>
    </w:p>
    <w:p>
      <w:pPr>
        <w:numPr>
          <w:ilvl w:val="0"/>
          <w:numId w:val="7"/>
        </w:numPr>
        <w:spacing w:line="360" w:lineRule="auto"/>
        <w:outlineLvl w:val="2"/>
        <w:rPr>
          <w:rFonts w:ascii="宋体" w:hAnsi="宋体"/>
          <w:b/>
          <w:color w:val="000000" w:themeColor="text1"/>
          <w:sz w:val="24"/>
        </w:rPr>
      </w:pPr>
      <w:r>
        <w:rPr>
          <w:rFonts w:hint="eastAsia" w:ascii="宋体" w:hAnsi="宋体"/>
          <w:b/>
          <w:color w:val="000000" w:themeColor="text1"/>
          <w:sz w:val="24"/>
        </w:rPr>
        <w:t>投标文件的更改与撤回</w:t>
      </w:r>
    </w:p>
    <w:p>
      <w:pPr>
        <w:numPr>
          <w:ilvl w:val="1"/>
          <w:numId w:val="7"/>
        </w:numPr>
        <w:spacing w:line="360" w:lineRule="auto"/>
        <w:ind w:left="708" w:hanging="708" w:hangingChars="295"/>
        <w:rPr>
          <w:rFonts w:ascii="宋体" w:hAnsi="宋体"/>
          <w:color w:val="000000" w:themeColor="text1"/>
          <w:sz w:val="24"/>
        </w:rPr>
      </w:pPr>
      <w:r>
        <w:rPr>
          <w:rFonts w:hint="eastAsia" w:ascii="宋体" w:hAnsi="宋体"/>
          <w:color w:val="000000" w:themeColor="text1"/>
          <w:sz w:val="24"/>
        </w:rPr>
        <w:t>在送交投标文件截止日期之前，允许投标人更改或撤回投标文件，此种要求必须书面提出，并经投标文件签字人签署，送交投标文件截止日期以后，投标文件不得更改；</w:t>
      </w:r>
    </w:p>
    <w:p>
      <w:pPr>
        <w:numPr>
          <w:ilvl w:val="1"/>
          <w:numId w:val="7"/>
        </w:numPr>
        <w:spacing w:line="360" w:lineRule="auto"/>
        <w:ind w:left="708" w:hanging="708" w:hangingChars="295"/>
        <w:rPr>
          <w:rFonts w:ascii="宋体" w:hAnsi="宋体"/>
          <w:color w:val="000000" w:themeColor="text1"/>
          <w:sz w:val="24"/>
        </w:rPr>
      </w:pPr>
      <w:r>
        <w:rPr>
          <w:rFonts w:hint="eastAsia" w:ascii="宋体" w:hAnsi="宋体"/>
          <w:color w:val="000000" w:themeColor="text1"/>
          <w:sz w:val="24"/>
        </w:rPr>
        <w:t>更改的投标文件应同样按照投标文件送交规定的要求编制、密封、标记和发送；</w:t>
      </w:r>
    </w:p>
    <w:p>
      <w:pPr>
        <w:numPr>
          <w:ilvl w:val="1"/>
          <w:numId w:val="7"/>
        </w:numPr>
        <w:spacing w:line="360" w:lineRule="auto"/>
        <w:ind w:left="708" w:hanging="708" w:hangingChars="295"/>
        <w:rPr>
          <w:rFonts w:ascii="宋体" w:hAnsi="宋体"/>
          <w:color w:val="000000" w:themeColor="text1"/>
          <w:sz w:val="24"/>
        </w:rPr>
      </w:pPr>
      <w:r>
        <w:rPr>
          <w:rFonts w:hint="eastAsia" w:ascii="宋体" w:hAnsi="宋体"/>
          <w:color w:val="000000" w:themeColor="text1"/>
          <w:sz w:val="24"/>
        </w:rPr>
        <w:t>送交投标文件截止日期以后，投标文件及其资料不予退还；即使投标人未能中标也不予退还。</w:t>
      </w:r>
    </w:p>
    <w:p>
      <w:pPr>
        <w:numPr>
          <w:ilvl w:val="0"/>
          <w:numId w:val="7"/>
        </w:numPr>
        <w:spacing w:line="360" w:lineRule="auto"/>
        <w:outlineLvl w:val="2"/>
        <w:rPr>
          <w:rFonts w:ascii="宋体" w:hAnsi="宋体"/>
          <w:b/>
          <w:color w:val="000000" w:themeColor="text1"/>
          <w:sz w:val="24"/>
        </w:rPr>
      </w:pPr>
      <w:r>
        <w:rPr>
          <w:rFonts w:hint="eastAsia" w:ascii="宋体" w:hAnsi="宋体"/>
          <w:b/>
          <w:color w:val="000000" w:themeColor="text1"/>
          <w:sz w:val="24"/>
        </w:rPr>
        <w:t>投标文件的澄清</w:t>
      </w:r>
    </w:p>
    <w:p>
      <w:pPr>
        <w:numPr>
          <w:ilvl w:val="1"/>
          <w:numId w:val="7"/>
        </w:numPr>
        <w:spacing w:line="360" w:lineRule="auto"/>
        <w:ind w:left="708" w:hanging="708" w:hangingChars="295"/>
        <w:rPr>
          <w:rFonts w:ascii="宋体" w:hAnsi="宋体"/>
          <w:color w:val="000000" w:themeColor="text1"/>
          <w:sz w:val="24"/>
        </w:rPr>
      </w:pPr>
      <w:r>
        <w:rPr>
          <w:rFonts w:hint="eastAsia" w:ascii="宋体" w:hAnsi="宋体"/>
          <w:color w:val="000000" w:themeColor="text1"/>
          <w:sz w:val="24"/>
        </w:rPr>
        <w:t>在评标阶段，招标人认为需要时，可书面通知投标人要求澄清投标文件的问题，或者要求补充某些资料，包括单价和分析资料；</w:t>
      </w:r>
    </w:p>
    <w:p>
      <w:pPr>
        <w:numPr>
          <w:ilvl w:val="1"/>
          <w:numId w:val="7"/>
        </w:numPr>
        <w:spacing w:line="360" w:lineRule="auto"/>
        <w:ind w:left="708" w:hanging="708" w:hangingChars="295"/>
        <w:rPr>
          <w:rFonts w:ascii="宋体" w:hAnsi="宋体"/>
          <w:color w:val="000000" w:themeColor="text1"/>
          <w:sz w:val="24"/>
        </w:rPr>
      </w:pPr>
      <w:r>
        <w:rPr>
          <w:rFonts w:hint="eastAsia" w:ascii="宋体" w:hAnsi="宋体"/>
          <w:color w:val="000000" w:themeColor="text1"/>
          <w:sz w:val="24"/>
        </w:rPr>
        <w:t>有关澄清的要求和答复，均应以书面文件进行，并加盖公司公章。</w:t>
      </w:r>
    </w:p>
    <w:p>
      <w:pPr>
        <w:numPr>
          <w:ilvl w:val="0"/>
          <w:numId w:val="7"/>
        </w:numPr>
        <w:spacing w:line="360" w:lineRule="auto"/>
        <w:outlineLvl w:val="2"/>
        <w:rPr>
          <w:rFonts w:ascii="宋体" w:hAnsi="宋体"/>
          <w:b/>
          <w:color w:val="000000" w:themeColor="text1"/>
          <w:sz w:val="24"/>
        </w:rPr>
      </w:pPr>
      <w:r>
        <w:rPr>
          <w:rFonts w:hint="eastAsia" w:ascii="宋体" w:hAnsi="宋体"/>
          <w:b/>
          <w:color w:val="000000" w:themeColor="text1"/>
          <w:sz w:val="24"/>
        </w:rPr>
        <w:t>接受和拒绝接受投标的权力</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在招标人确认接受投标之前的任何时候，招标人有权接受或拒绝任何投标，宣布投标无效或拒绝所有投标，并对由此而引起的对投标人的影响不承担责任，也不解释原因，有权拒绝报价最低、评分最高或其它任何报价的投标文件。</w:t>
      </w:r>
    </w:p>
    <w:p>
      <w:pPr>
        <w:numPr>
          <w:ilvl w:val="0"/>
          <w:numId w:val="7"/>
        </w:numPr>
        <w:spacing w:line="360" w:lineRule="auto"/>
        <w:outlineLvl w:val="2"/>
        <w:rPr>
          <w:rFonts w:ascii="宋体" w:hAnsi="宋体"/>
          <w:b/>
          <w:color w:val="000000" w:themeColor="text1"/>
          <w:sz w:val="24"/>
        </w:rPr>
      </w:pPr>
      <w:r>
        <w:rPr>
          <w:rFonts w:hint="eastAsia" w:ascii="宋体" w:hAnsi="宋体"/>
          <w:b/>
          <w:color w:val="000000" w:themeColor="text1"/>
          <w:sz w:val="24"/>
        </w:rPr>
        <w:t>廉洁合作</w:t>
      </w:r>
    </w:p>
    <w:p>
      <w:pPr>
        <w:spacing w:line="360" w:lineRule="auto"/>
        <w:ind w:firstLine="537" w:firstLineChars="224"/>
        <w:outlineLvl w:val="2"/>
        <w:rPr>
          <w:rFonts w:ascii="宋体" w:hAnsi="宋体"/>
          <w:color w:val="000000" w:themeColor="text1"/>
          <w:sz w:val="24"/>
        </w:rPr>
      </w:pPr>
      <w:r>
        <w:rPr>
          <w:rFonts w:hint="eastAsia" w:ascii="宋体" w:hAnsi="宋体"/>
          <w:color w:val="000000" w:themeColor="text1"/>
          <w:sz w:val="24"/>
        </w:rPr>
        <w:t>在本次招标投标活动中，招投标双方都需严格遵守《廉洁协议书》的各项要求。</w:t>
      </w:r>
    </w:p>
    <w:p>
      <w:pPr>
        <w:numPr>
          <w:ilvl w:val="0"/>
          <w:numId w:val="7"/>
        </w:numPr>
        <w:spacing w:line="360" w:lineRule="auto"/>
        <w:outlineLvl w:val="2"/>
        <w:rPr>
          <w:rFonts w:ascii="宋体" w:hAnsi="宋体"/>
          <w:b/>
          <w:color w:val="000000" w:themeColor="text1"/>
          <w:sz w:val="24"/>
        </w:rPr>
      </w:pPr>
      <w:r>
        <w:rPr>
          <w:rFonts w:hint="eastAsia" w:ascii="宋体" w:hAnsi="宋体"/>
          <w:b/>
          <w:color w:val="000000" w:themeColor="text1"/>
          <w:sz w:val="24"/>
        </w:rPr>
        <w:t>其它</w:t>
      </w:r>
    </w:p>
    <w:p>
      <w:pPr>
        <w:numPr>
          <w:ilvl w:val="1"/>
          <w:numId w:val="7"/>
        </w:numPr>
        <w:tabs>
          <w:tab w:val="left" w:pos="709"/>
        </w:tabs>
        <w:spacing w:line="360" w:lineRule="auto"/>
        <w:rPr>
          <w:rFonts w:ascii="宋体" w:hAnsi="宋体" w:cs="宋体"/>
          <w:color w:val="000000" w:themeColor="text1"/>
          <w:kern w:val="0"/>
          <w:sz w:val="24"/>
        </w:rPr>
      </w:pPr>
      <w:r>
        <w:rPr>
          <w:rFonts w:hint="eastAsia" w:ascii="宋体" w:hAnsi="宋体" w:cs="宋体"/>
          <w:color w:val="000000" w:themeColor="text1"/>
          <w:kern w:val="0"/>
          <w:sz w:val="24"/>
        </w:rPr>
        <w:t>招标人不再接受投标方在中标后提出的任何超出本招标文件中条款的要求。</w:t>
      </w:r>
    </w:p>
    <w:p>
      <w:pPr>
        <w:pStyle w:val="24"/>
        <w:numPr>
          <w:ilvl w:val="0"/>
          <w:numId w:val="7"/>
        </w:numPr>
        <w:tabs>
          <w:tab w:val="left" w:pos="709"/>
        </w:tabs>
        <w:spacing w:line="360" w:lineRule="auto"/>
        <w:ind w:firstLineChars="0"/>
        <w:rPr>
          <w:rFonts w:ascii="宋体" w:hAnsi="宋体" w:cs="宋体"/>
          <w:b/>
          <w:color w:val="000000" w:themeColor="text1"/>
          <w:kern w:val="0"/>
          <w:sz w:val="24"/>
        </w:rPr>
      </w:pPr>
      <w:r>
        <w:rPr>
          <w:rFonts w:hint="eastAsia" w:ascii="宋体" w:hAnsi="宋体" w:cs="宋体"/>
          <w:b/>
          <w:color w:val="000000" w:themeColor="text1"/>
          <w:kern w:val="0"/>
          <w:sz w:val="24"/>
        </w:rPr>
        <w:t>保密</w:t>
      </w:r>
    </w:p>
    <w:p>
      <w:pPr>
        <w:numPr>
          <w:ilvl w:val="1"/>
          <w:numId w:val="7"/>
        </w:numPr>
        <w:tabs>
          <w:tab w:val="left" w:pos="709"/>
        </w:tabs>
        <w:spacing w:line="360" w:lineRule="auto"/>
        <w:rPr>
          <w:rFonts w:ascii="宋体" w:hAnsi="宋体" w:cs="宋体"/>
          <w:color w:val="000000" w:themeColor="text1"/>
          <w:kern w:val="0"/>
          <w:sz w:val="24"/>
        </w:rPr>
      </w:pPr>
      <w:bookmarkStart w:id="21" w:name="_Toc233622076"/>
      <w:r>
        <w:rPr>
          <w:rFonts w:hint="eastAsia" w:ascii="宋体" w:hAnsi="宋体" w:cs="宋体"/>
          <w:color w:val="000000" w:themeColor="text1"/>
          <w:kern w:val="0"/>
          <w:sz w:val="24"/>
        </w:rPr>
        <w:t>参与招标投标活动的各方应对招标文件和投标文件中的商业和技术等秘密保密，违者应对由此造成的后果承担法律责任。</w:t>
      </w:r>
    </w:p>
    <w:p>
      <w:pPr>
        <w:pStyle w:val="3"/>
        <w:spacing w:line="360" w:lineRule="auto"/>
        <w:rPr>
          <w:rFonts w:ascii="宋体" w:hAnsi="宋体" w:eastAsia="宋体"/>
          <w:bCs w:val="0"/>
          <w:color w:val="000000" w:themeColor="text1"/>
          <w:szCs w:val="32"/>
        </w:rPr>
      </w:pPr>
      <w:r>
        <w:rPr>
          <w:rFonts w:hint="eastAsia" w:ascii="宋体" w:hAnsi="宋体" w:eastAsia="宋体"/>
          <w:bCs w:val="0"/>
          <w:color w:val="000000" w:themeColor="text1"/>
          <w:szCs w:val="32"/>
        </w:rPr>
        <w:t>第七章 招标文件附件</w:t>
      </w:r>
      <w:bookmarkEnd w:id="21"/>
    </w:p>
    <w:p>
      <w:pPr>
        <w:numPr>
          <w:ilvl w:val="0"/>
          <w:numId w:val="7"/>
        </w:numPr>
        <w:spacing w:line="360" w:lineRule="auto"/>
        <w:outlineLvl w:val="2"/>
        <w:rPr>
          <w:rFonts w:ascii="宋体" w:hAnsi="宋体"/>
          <w:b/>
          <w:color w:val="000000" w:themeColor="text1"/>
          <w:sz w:val="24"/>
        </w:rPr>
      </w:pPr>
      <w:r>
        <w:rPr>
          <w:rFonts w:hint="eastAsia" w:ascii="宋体" w:hAnsi="宋体"/>
          <w:b/>
          <w:color w:val="000000" w:themeColor="text1"/>
          <w:sz w:val="24"/>
        </w:rPr>
        <w:t>招标文件附件如下：</w:t>
      </w:r>
    </w:p>
    <w:p>
      <w:pPr>
        <w:spacing w:line="360" w:lineRule="auto"/>
        <w:ind w:firstLine="537" w:firstLineChars="224"/>
        <w:outlineLvl w:val="2"/>
        <w:rPr>
          <w:rFonts w:ascii="宋体" w:hAnsi="宋体"/>
          <w:color w:val="000000" w:themeColor="text1"/>
          <w:sz w:val="24"/>
        </w:rPr>
      </w:pPr>
      <w:r>
        <w:rPr>
          <w:rFonts w:hint="eastAsia" w:ascii="宋体" w:hAnsi="宋体"/>
          <w:color w:val="000000" w:themeColor="text1"/>
          <w:sz w:val="24"/>
        </w:rPr>
        <w:t>招标文件-附件01：投标承诺函</w:t>
      </w:r>
    </w:p>
    <w:p>
      <w:pPr>
        <w:spacing w:line="360" w:lineRule="auto"/>
        <w:ind w:firstLine="537" w:firstLineChars="224"/>
        <w:outlineLvl w:val="2"/>
        <w:rPr>
          <w:rFonts w:ascii="宋体" w:hAnsi="宋体"/>
          <w:color w:val="000000" w:themeColor="text1"/>
          <w:sz w:val="24"/>
        </w:rPr>
      </w:pPr>
      <w:r>
        <w:rPr>
          <w:rFonts w:hint="eastAsia" w:ascii="宋体" w:hAnsi="宋体"/>
          <w:color w:val="000000" w:themeColor="text1"/>
          <w:sz w:val="24"/>
        </w:rPr>
        <w:t>招标文件-附件02：投标文件格式</w:t>
      </w:r>
    </w:p>
    <w:p>
      <w:pPr>
        <w:ind w:left="599" w:leftChars="228" w:hanging="120" w:hangingChars="50"/>
        <w:rPr>
          <w:rFonts w:ascii="宋体" w:hAnsi="宋体"/>
          <w:color w:val="000000" w:themeColor="text1"/>
          <w:sz w:val="24"/>
        </w:rPr>
      </w:pPr>
    </w:p>
    <w:p>
      <w:pPr>
        <w:ind w:left="599" w:leftChars="228" w:hanging="120" w:hangingChars="50"/>
        <w:rPr>
          <w:rFonts w:ascii="宋体" w:hAnsi="宋体"/>
          <w:color w:val="000000" w:themeColor="text1"/>
          <w:sz w:val="24"/>
        </w:rPr>
      </w:pPr>
    </w:p>
    <w:p>
      <w:pPr>
        <w:spacing w:line="360" w:lineRule="auto"/>
        <w:ind w:firstLine="2577" w:firstLineChars="1074"/>
        <w:outlineLvl w:val="2"/>
        <w:rPr>
          <w:rFonts w:ascii="宋体" w:hAnsi="宋体"/>
          <w:color w:val="000000" w:themeColor="text1"/>
          <w:sz w:val="24"/>
        </w:rPr>
      </w:pPr>
      <w:r>
        <w:rPr>
          <w:rFonts w:hint="eastAsia" w:ascii="宋体" w:hAnsi="宋体"/>
          <w:color w:val="000000" w:themeColor="text1"/>
          <w:sz w:val="24"/>
        </w:rPr>
        <w:t>工程概况</w:t>
      </w:r>
      <w:permStart w:id="6" w:edGrp="everyone"/>
      <w:r>
        <w:rPr>
          <w:rFonts w:hint="eastAsia" w:ascii="宋体" w:hAnsi="宋体"/>
          <w:color w:val="000000" w:themeColor="text1"/>
          <w:sz w:val="24"/>
        </w:rPr>
        <w:t>（详见附件1.4）</w:t>
      </w:r>
      <w:permEnd w:id="6"/>
    </w:p>
    <w:p>
      <w:pPr>
        <w:pStyle w:val="2"/>
        <w:spacing w:line="360" w:lineRule="auto"/>
        <w:jc w:val="left"/>
        <w:rPr>
          <w:rFonts w:ascii="宋体" w:hAnsi="宋体" w:eastAsia="宋体"/>
          <w:bCs w:val="0"/>
          <w:color w:val="000000" w:themeColor="text1"/>
          <w:szCs w:val="32"/>
        </w:rPr>
      </w:pPr>
      <w:bookmarkStart w:id="22" w:name="_Toc233622077"/>
      <w:permStart w:id="7" w:edGrp="everyone"/>
    </w:p>
    <w:permEnd w:id="7"/>
    <w:p>
      <w:pPr>
        <w:pStyle w:val="2"/>
        <w:spacing w:line="360" w:lineRule="auto"/>
        <w:rPr>
          <w:rFonts w:ascii="宋体" w:hAnsi="宋体" w:eastAsia="宋体"/>
          <w:bCs w:val="0"/>
          <w:color w:val="000000" w:themeColor="text1"/>
          <w:szCs w:val="32"/>
        </w:rPr>
      </w:pPr>
      <w:r>
        <w:rPr>
          <w:rFonts w:hint="eastAsia" w:ascii="宋体" w:hAnsi="宋体" w:eastAsia="宋体"/>
          <w:bCs w:val="0"/>
          <w:color w:val="000000" w:themeColor="text1"/>
          <w:szCs w:val="32"/>
        </w:rPr>
        <w:t xml:space="preserve"> 第二部分    合同</w:t>
      </w:r>
      <w:bookmarkEnd w:id="22"/>
      <w:r>
        <w:rPr>
          <w:rFonts w:hint="eastAsia" w:ascii="宋体" w:hAnsi="宋体" w:eastAsia="宋体"/>
          <w:bCs w:val="0"/>
          <w:color w:val="000000" w:themeColor="text1"/>
          <w:szCs w:val="32"/>
        </w:rPr>
        <w:t>文件</w:t>
      </w:r>
    </w:p>
    <w:p>
      <w:pPr>
        <w:spacing w:line="360" w:lineRule="auto"/>
        <w:ind w:firstLine="540" w:firstLineChars="224"/>
        <w:rPr>
          <w:rFonts w:ascii="宋体" w:hAnsi="宋体"/>
          <w:color w:val="000000" w:themeColor="text1"/>
          <w:sz w:val="24"/>
        </w:rPr>
      </w:pPr>
      <w:r>
        <w:rPr>
          <w:rFonts w:hint="eastAsia"/>
          <w:b/>
          <w:color w:val="000000" w:themeColor="text1"/>
          <w:kern w:val="0"/>
          <w:sz w:val="24"/>
          <w:szCs w:val="20"/>
          <w:u w:val="single"/>
        </w:rPr>
        <w:t>详见附件。</w:t>
      </w:r>
    </w:p>
    <w:p>
      <w:pPr>
        <w:pStyle w:val="2"/>
        <w:spacing w:line="360" w:lineRule="auto"/>
        <w:jc w:val="left"/>
        <w:rPr>
          <w:rFonts w:ascii="宋体" w:hAnsi="宋体" w:eastAsia="宋体"/>
          <w:bCs w:val="0"/>
          <w:color w:val="000000" w:themeColor="text1"/>
          <w:szCs w:val="32"/>
        </w:rPr>
      </w:pPr>
      <w:bookmarkStart w:id="23" w:name="_Toc233622078"/>
      <w:permStart w:id="8" w:edGrp="everyone"/>
    </w:p>
    <w:permEnd w:id="8"/>
    <w:p>
      <w:pPr>
        <w:pStyle w:val="2"/>
        <w:spacing w:line="360" w:lineRule="auto"/>
        <w:ind w:firstLine="3196" w:firstLineChars="995"/>
        <w:jc w:val="both"/>
        <w:rPr>
          <w:rFonts w:ascii="宋体" w:hAnsi="宋体" w:eastAsia="宋体"/>
          <w:bCs w:val="0"/>
          <w:color w:val="000000" w:themeColor="text1"/>
          <w:szCs w:val="32"/>
        </w:rPr>
      </w:pPr>
      <w:r>
        <w:rPr>
          <w:rFonts w:hint="eastAsia" w:ascii="宋体" w:hAnsi="宋体" w:eastAsia="宋体"/>
          <w:bCs w:val="0"/>
          <w:color w:val="000000" w:themeColor="text1"/>
          <w:szCs w:val="32"/>
        </w:rPr>
        <w:t>第三部分     图纸</w:t>
      </w:r>
      <w:bookmarkEnd w:id="23"/>
    </w:p>
    <w:p>
      <w:pPr>
        <w:pStyle w:val="20"/>
        <w:spacing w:line="360" w:lineRule="auto"/>
        <w:ind w:firstLine="482" w:firstLineChars="200"/>
        <w:rPr>
          <w:color w:val="000000" w:themeColor="text1"/>
          <w:sz w:val="24"/>
          <w:szCs w:val="24"/>
        </w:rPr>
      </w:pPr>
      <w:r>
        <w:rPr>
          <w:rFonts w:hint="eastAsia"/>
          <w:b/>
          <w:color w:val="000000" w:themeColor="text1"/>
          <w:sz w:val="24"/>
          <w:u w:val="single"/>
        </w:rPr>
        <w:t>详见附件。</w:t>
      </w:r>
    </w:p>
    <w:p>
      <w:pPr>
        <w:pStyle w:val="2"/>
        <w:spacing w:line="360" w:lineRule="auto"/>
        <w:jc w:val="left"/>
        <w:rPr>
          <w:rFonts w:ascii="宋体" w:hAnsi="宋体" w:eastAsia="宋体"/>
          <w:bCs w:val="0"/>
          <w:color w:val="000000" w:themeColor="text1"/>
          <w:szCs w:val="32"/>
        </w:rPr>
      </w:pPr>
      <w:permStart w:id="9" w:edGrp="everyone"/>
      <w:bookmarkStart w:id="24" w:name="_Toc233622079"/>
    </w:p>
    <w:permEnd w:id="9"/>
    <w:p>
      <w:pPr>
        <w:pStyle w:val="2"/>
        <w:spacing w:line="360" w:lineRule="auto"/>
        <w:rPr>
          <w:rFonts w:ascii="宋体" w:hAnsi="宋体" w:eastAsia="宋体"/>
          <w:bCs w:val="0"/>
          <w:color w:val="000000" w:themeColor="text1"/>
          <w:szCs w:val="32"/>
        </w:rPr>
      </w:pPr>
      <w:r>
        <w:rPr>
          <w:rFonts w:hint="eastAsia" w:ascii="宋体" w:hAnsi="宋体" w:eastAsia="宋体"/>
          <w:bCs w:val="0"/>
          <w:color w:val="000000" w:themeColor="text1"/>
          <w:szCs w:val="32"/>
        </w:rPr>
        <w:t>第四部分</w:t>
      </w:r>
      <w:bookmarkEnd w:id="24"/>
      <w:bookmarkStart w:id="25" w:name="_Toc233622080"/>
      <w:r>
        <w:rPr>
          <w:rFonts w:hint="eastAsia" w:ascii="宋体" w:hAnsi="宋体" w:eastAsia="宋体"/>
          <w:bCs w:val="0"/>
          <w:color w:val="000000" w:themeColor="text1"/>
          <w:szCs w:val="32"/>
        </w:rPr>
        <w:t xml:space="preserve">    工程量清单</w:t>
      </w:r>
      <w:bookmarkEnd w:id="25"/>
    </w:p>
    <w:p>
      <w:pPr>
        <w:pStyle w:val="20"/>
        <w:spacing w:line="360" w:lineRule="auto"/>
        <w:ind w:firstLine="482" w:firstLineChars="200"/>
        <w:rPr>
          <w:b/>
          <w:color w:val="000000" w:themeColor="text1"/>
          <w:sz w:val="24"/>
          <w:u w:val="single"/>
        </w:rPr>
      </w:pPr>
      <w:r>
        <w:rPr>
          <w:rFonts w:hint="eastAsia"/>
          <w:b/>
          <w:color w:val="000000" w:themeColor="text1"/>
          <w:sz w:val="24"/>
          <w:u w:val="single"/>
        </w:rPr>
        <w:t>详见附件。</w:t>
      </w:r>
    </w:p>
    <w:p>
      <w:pPr>
        <w:ind w:left="-142" w:right="-241" w:rightChars="-115"/>
        <w:rPr>
          <w:color w:val="000000" w:themeColor="text1"/>
        </w:rPr>
      </w:pPr>
    </w:p>
    <w:p>
      <w:pPr>
        <w:ind w:right="-241" w:rightChars="-115"/>
        <w:rPr>
          <w:color w:val="000000" w:themeColor="text1"/>
        </w:rPr>
      </w:pPr>
      <w:permStart w:id="10" w:edGrp="everyone"/>
    </w:p>
    <w:permEnd w:id="10"/>
    <w:p>
      <w:pPr>
        <w:ind w:right="-241" w:rightChars="-115"/>
        <w:rPr>
          <w:color w:val="000000" w:themeColor="text1"/>
        </w:rPr>
      </w:pPr>
    </w:p>
    <w:sectPr>
      <w:headerReference r:id="rId6" w:type="default"/>
      <w:footerReference r:id="rId7" w:type="default"/>
      <w:pgSz w:w="11906" w:h="16838"/>
      <w:pgMar w:top="1247" w:right="1247" w:bottom="1247" w:left="1247" w:header="851" w:footer="851"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2"/>
      </w:rPr>
    </w:pPr>
    <w:r>
      <w:rPr>
        <w:rStyle w:val="12"/>
      </w:rPr>
      <w:fldChar w:fldCharType="begin"/>
    </w:r>
    <w:r>
      <w:rPr>
        <w:rStyle w:val="12"/>
      </w:rPr>
      <w:instrText xml:space="preserve">PAGE  </w:instrText>
    </w:r>
    <w:r>
      <w:rPr>
        <w:rStyle w:val="12"/>
      </w:rPr>
      <w:fldChar w:fldCharType="end"/>
    </w:r>
  </w:p>
  <w:p>
    <w:pPr>
      <w:pStyle w:val="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hint="eastAsia"/>
      </w:rPr>
      <w:t>第</w:t>
    </w:r>
    <w:r>
      <w:fldChar w:fldCharType="begin"/>
    </w:r>
    <w:r>
      <w:instrText xml:space="preserve">PAGE   \* MERGEFORMAT</w:instrText>
    </w:r>
    <w:r>
      <w:fldChar w:fldCharType="separate"/>
    </w:r>
    <w:r>
      <w:rPr>
        <w:lang w:val="zh-CN"/>
      </w:rPr>
      <w:t>1</w:t>
    </w:r>
    <w:r>
      <w:rPr>
        <w:lang w:val="zh-CN"/>
      </w:rPr>
      <w:fldChar w:fldCharType="end"/>
    </w:r>
    <w:r>
      <w:rPr>
        <w:rFonts w:hint="eastAsia"/>
      </w:rPr>
      <w:t>页</w:t>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8931"/>
        <w:tab w:val="clear" w:pos="8306"/>
      </w:tabs>
      <w:jc w:val="left"/>
      <w:rPr>
        <w:rFonts w:ascii="Arial" w:hAnsi="宋体" w:cs="Arial"/>
        <w:color w:val="000000" w:themeColor="text1"/>
        <w:sz w:val="20"/>
      </w:rPr>
    </w:pPr>
    <w:permStart w:id="11" w:edGrp="everyone"/>
    <w:r>
      <w:rPr>
        <w:rFonts w:hint="eastAsia" w:ascii="Arial" w:hAnsi="Arial" w:cs="Arial"/>
        <w:color w:val="000000" w:themeColor="text1"/>
        <w:sz w:val="20"/>
      </w:rPr>
      <w:t>三农</w:t>
    </w:r>
    <w:permEnd w:id="11"/>
    <w:r>
      <w:rPr>
        <w:rFonts w:ascii="Arial" w:hAnsi="宋体" w:cs="Arial"/>
        <w:color w:val="000000" w:themeColor="text1"/>
        <w:sz w:val="20"/>
      </w:rPr>
      <w:t>项目</w:t>
    </w:r>
  </w:p>
  <w:p>
    <w:pPr>
      <w:pStyle w:val="8"/>
      <w:tabs>
        <w:tab w:val="right" w:pos="8931"/>
        <w:tab w:val="clear" w:pos="8306"/>
      </w:tabs>
      <w:jc w:val="left"/>
      <w:rPr>
        <w:sz w:val="20"/>
      </w:rPr>
    </w:pPr>
    <w:bookmarkStart w:id="26" w:name="_Hlk523820772"/>
    <w:bookmarkStart w:id="27" w:name="_Hlk523821549"/>
    <w:permStart w:id="12" w:edGrp="everyone"/>
    <w:r>
      <w:rPr>
        <w:rFonts w:hint="eastAsia" w:ascii="Arial" w:hAnsi="Arial" w:cs="Arial"/>
        <w:sz w:val="20"/>
      </w:rPr>
      <w:t>三农厂区河边泵房扩建</w:t>
    </w:r>
    <w:bookmarkEnd w:id="26"/>
    <w:r>
      <w:rPr>
        <w:rFonts w:hint="eastAsia" w:ascii="Arial" w:hAnsi="Arial" w:cs="Arial"/>
        <w:sz w:val="20"/>
      </w:rPr>
      <w:t>工程</w:t>
    </w:r>
    <w:permEnd w:id="12"/>
    <w:bookmarkEnd w:id="27"/>
    <w:r>
      <w:rPr>
        <w:rFonts w:hint="eastAsia"/>
        <w:sz w:val="20"/>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8931"/>
        <w:tab w:val="clear" w:pos="8306"/>
      </w:tabs>
      <w:jc w:val="left"/>
      <w:rPr>
        <w:rFonts w:ascii="Arial" w:hAnsi="宋体" w:cs="Arial"/>
        <w:color w:val="4F81BD" w:themeColor="accent1"/>
        <w:sz w:val="20"/>
      </w:rPr>
    </w:pPr>
    <w:r>
      <w:rPr>
        <w:rFonts w:hint="eastAsia" w:ascii="Arial" w:hAnsi="宋体" w:cs="Arial"/>
        <w:sz w:val="20"/>
      </w:rPr>
      <w:t>三农</w:t>
    </w:r>
    <w:r>
      <w:rPr>
        <w:rFonts w:ascii="Arial" w:hAnsi="宋体" w:cs="Arial"/>
        <w:sz w:val="20"/>
      </w:rPr>
      <w:t>项目</w:t>
    </w:r>
  </w:p>
  <w:p>
    <w:pPr>
      <w:pStyle w:val="8"/>
      <w:tabs>
        <w:tab w:val="right" w:pos="8931"/>
        <w:tab w:val="clear" w:pos="8306"/>
      </w:tabs>
      <w:jc w:val="left"/>
    </w:pPr>
    <w:permStart w:id="13" w:edGrp="everyone"/>
    <w:r>
      <w:rPr>
        <w:rFonts w:hint="eastAsia" w:ascii="Arial" w:hAnsi="Arial" w:cs="Arial"/>
        <w:sz w:val="20"/>
      </w:rPr>
      <w:t>三农厂区河边泵房扩建工程</w:t>
    </w:r>
    <w:permEnd w:id="13"/>
    <w:r>
      <w:rPr>
        <w:rFonts w:hint="eastAsia"/>
        <w:sz w:val="20"/>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73D"/>
    <w:multiLevelType w:val="multilevel"/>
    <w:tmpl w:val="0140173D"/>
    <w:lvl w:ilvl="0" w:tentative="0">
      <w:start w:val="1"/>
      <w:numFmt w:val="decimal"/>
      <w:lvlText w:val="(%1)"/>
      <w:lvlJc w:val="left"/>
      <w:pPr>
        <w:ind w:left="420" w:hanging="420"/>
      </w:pPr>
      <w:rPr>
        <w:rFonts w:hint="eastAsia" w:eastAsia="仿宋_GB2312"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5B25FB4"/>
    <w:multiLevelType w:val="multilevel"/>
    <w:tmpl w:val="25B25FB4"/>
    <w:lvl w:ilvl="0" w:tentative="0">
      <w:start w:val="1"/>
      <w:numFmt w:val="japaneseCounting"/>
      <w:lvlText w:val="第%1章"/>
      <w:lvlJc w:val="left"/>
      <w:pPr>
        <w:tabs>
          <w:tab w:val="left" w:pos="1680"/>
        </w:tabs>
        <w:ind w:left="1680" w:hanging="840"/>
      </w:pPr>
      <w:rPr>
        <w:rFonts w:hint="default"/>
      </w:r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2">
    <w:nsid w:val="30F861CF"/>
    <w:multiLevelType w:val="multilevel"/>
    <w:tmpl w:val="30F861CF"/>
    <w:lvl w:ilvl="0" w:tentative="0">
      <w:start w:val="1"/>
      <w:numFmt w:val="decimal"/>
      <w:lvlText w:val="(%1)"/>
      <w:lvlJc w:val="left"/>
      <w:pPr>
        <w:ind w:left="420" w:hanging="420"/>
      </w:pPr>
      <w:rPr>
        <w:rFonts w:hint="eastAsia" w:eastAsia="仿宋_GB2312"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89018E0"/>
    <w:multiLevelType w:val="multilevel"/>
    <w:tmpl w:val="689018E0"/>
    <w:lvl w:ilvl="0" w:tentative="0">
      <w:start w:val="10"/>
      <w:numFmt w:val="decimal"/>
      <w:lvlText w:val="%1."/>
      <w:lvlJc w:val="left"/>
      <w:pPr>
        <w:ind w:left="516" w:hanging="516"/>
      </w:pPr>
      <w:rPr>
        <w:rFonts w:hint="eastAsia"/>
      </w:rPr>
    </w:lvl>
    <w:lvl w:ilvl="1" w:tentative="0">
      <w:start w:val="1"/>
      <w:numFmt w:val="decimal"/>
      <w:lvlText w:val="%1.%2"/>
      <w:lvlJc w:val="left"/>
      <w:pPr>
        <w:ind w:left="1146"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4">
    <w:nsid w:val="68DD2F28"/>
    <w:multiLevelType w:val="multilevel"/>
    <w:tmpl w:val="68DD2F28"/>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C3337C0"/>
    <w:multiLevelType w:val="multilevel"/>
    <w:tmpl w:val="6C3337C0"/>
    <w:lvl w:ilvl="0" w:tentative="0">
      <w:start w:val="1"/>
      <w:numFmt w:val="decimal"/>
      <w:lvlText w:val="%1."/>
      <w:lvlJc w:val="left"/>
      <w:pPr>
        <w:tabs>
          <w:tab w:val="left" w:pos="425"/>
        </w:tabs>
        <w:ind w:left="0" w:firstLine="0"/>
      </w:pPr>
      <w:rPr>
        <w:rFonts w:hint="eastAsia"/>
      </w:rPr>
    </w:lvl>
    <w:lvl w:ilvl="1" w:tentative="0">
      <w:start w:val="1"/>
      <w:numFmt w:val="decimal"/>
      <w:lvlText w:val="%1.%2."/>
      <w:lvlJc w:val="left"/>
      <w:pPr>
        <w:tabs>
          <w:tab w:val="left" w:pos="0"/>
        </w:tabs>
        <w:ind w:left="0" w:firstLine="0"/>
      </w:pPr>
      <w:rPr>
        <w:rFonts w:hint="eastAsia"/>
      </w:rPr>
    </w:lvl>
    <w:lvl w:ilvl="2" w:tentative="0">
      <w:start w:val="1"/>
      <w:numFmt w:val="decimal"/>
      <w:lvlText w:val="%1.%2.%3.1"/>
      <w:lvlJc w:val="left"/>
      <w:pPr>
        <w:tabs>
          <w:tab w:val="left" w:pos="709"/>
        </w:tabs>
        <w:ind w:left="0" w:firstLine="0"/>
      </w:pPr>
      <w:rPr>
        <w:rFonts w:hint="eastAsia"/>
      </w:rPr>
    </w:lvl>
    <w:lvl w:ilvl="3" w:tentative="0">
      <w:start w:val="1"/>
      <w:numFmt w:val="decimal"/>
      <w:lvlText w:val="(%4)"/>
      <w:lvlJc w:val="left"/>
      <w:pPr>
        <w:tabs>
          <w:tab w:val="left" w:pos="851"/>
        </w:tabs>
        <w:ind w:left="851" w:hanging="851"/>
      </w:pPr>
      <w:rPr>
        <w:rFonts w:hint="eastAsia" w:eastAsia="仿宋_GB2312" w:cs="Times New Roman"/>
      </w:rPr>
    </w:lvl>
    <w:lvl w:ilvl="4" w:tentative="0">
      <w:start w:val="1"/>
      <w:numFmt w:val="decimal"/>
      <w:lvlText w:val="%1.%2.%3.%4.%5."/>
      <w:lvlJc w:val="left"/>
      <w:pPr>
        <w:tabs>
          <w:tab w:val="left" w:pos="1352"/>
        </w:tabs>
        <w:ind w:left="135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
    <w:nsid w:val="6ECA1509"/>
    <w:multiLevelType w:val="multilevel"/>
    <w:tmpl w:val="6ECA1509"/>
    <w:lvl w:ilvl="0" w:tentative="0">
      <w:start w:val="1"/>
      <w:numFmt w:val="decimal"/>
      <w:lvlText w:val="(%1)"/>
      <w:lvlJc w:val="left"/>
      <w:pPr>
        <w:ind w:left="420" w:hanging="420"/>
      </w:pPr>
      <w:rPr>
        <w:rFonts w:hint="eastAsia" w:eastAsia="仿宋_GB2312"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4EE110A"/>
    <w:multiLevelType w:val="multilevel"/>
    <w:tmpl w:val="74EE110A"/>
    <w:lvl w:ilvl="0" w:tentative="0">
      <w:start w:val="1"/>
      <w:numFmt w:val="japaneseCounting"/>
      <w:lvlText w:val="第%1章"/>
      <w:lvlJc w:val="left"/>
      <w:pPr>
        <w:ind w:left="1350" w:hanging="13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DAB5E6B"/>
    <w:multiLevelType w:val="multilevel"/>
    <w:tmpl w:val="7DAB5E6B"/>
    <w:lvl w:ilvl="0" w:tentative="0">
      <w:start w:val="1"/>
      <w:numFmt w:val="decimal"/>
      <w:lvlText w:val="(%1)"/>
      <w:lvlJc w:val="left"/>
      <w:pPr>
        <w:ind w:left="420" w:hanging="420"/>
      </w:pPr>
      <w:rPr>
        <w:rFonts w:hint="eastAsia" w:eastAsia="仿宋_GB2312"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7"/>
  </w:num>
  <w:num w:numId="2">
    <w:abstractNumId w:val="5"/>
  </w:num>
  <w:num w:numId="3">
    <w:abstractNumId w:val="1"/>
  </w:num>
  <w:num w:numId="4">
    <w:abstractNumId w:val="2"/>
  </w:num>
  <w:num w:numId="5">
    <w:abstractNumId w:val="6"/>
  </w:num>
  <w:num w:numId="6">
    <w:abstractNumId w:val="8"/>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6747C"/>
    <w:rsid w:val="000050E4"/>
    <w:rsid w:val="000104F9"/>
    <w:rsid w:val="0001125F"/>
    <w:rsid w:val="0001389A"/>
    <w:rsid w:val="00016390"/>
    <w:rsid w:val="0001787B"/>
    <w:rsid w:val="00021724"/>
    <w:rsid w:val="00021B44"/>
    <w:rsid w:val="000221CD"/>
    <w:rsid w:val="0002283B"/>
    <w:rsid w:val="0002363A"/>
    <w:rsid w:val="00025423"/>
    <w:rsid w:val="0003464E"/>
    <w:rsid w:val="00034E1E"/>
    <w:rsid w:val="00035B5F"/>
    <w:rsid w:val="00037AA0"/>
    <w:rsid w:val="000427BD"/>
    <w:rsid w:val="000429C9"/>
    <w:rsid w:val="00044D35"/>
    <w:rsid w:val="0004511C"/>
    <w:rsid w:val="00046AA7"/>
    <w:rsid w:val="00053FB7"/>
    <w:rsid w:val="0006031C"/>
    <w:rsid w:val="0006097A"/>
    <w:rsid w:val="00060D03"/>
    <w:rsid w:val="00063334"/>
    <w:rsid w:val="000651C4"/>
    <w:rsid w:val="00067B77"/>
    <w:rsid w:val="00071FB7"/>
    <w:rsid w:val="00072F1E"/>
    <w:rsid w:val="00080886"/>
    <w:rsid w:val="000861D0"/>
    <w:rsid w:val="00090D5F"/>
    <w:rsid w:val="0009183C"/>
    <w:rsid w:val="00094434"/>
    <w:rsid w:val="00097D96"/>
    <w:rsid w:val="000A2C17"/>
    <w:rsid w:val="000A5598"/>
    <w:rsid w:val="000A67B5"/>
    <w:rsid w:val="000A6B44"/>
    <w:rsid w:val="000C2B11"/>
    <w:rsid w:val="000C7D6C"/>
    <w:rsid w:val="000D0F53"/>
    <w:rsid w:val="000D2C10"/>
    <w:rsid w:val="000D31D4"/>
    <w:rsid w:val="000D46CD"/>
    <w:rsid w:val="000D6009"/>
    <w:rsid w:val="000D7E40"/>
    <w:rsid w:val="000E03CB"/>
    <w:rsid w:val="000E0E18"/>
    <w:rsid w:val="000E4F03"/>
    <w:rsid w:val="000F376B"/>
    <w:rsid w:val="000F4D2D"/>
    <w:rsid w:val="00101390"/>
    <w:rsid w:val="00106053"/>
    <w:rsid w:val="00107EDC"/>
    <w:rsid w:val="00113AD1"/>
    <w:rsid w:val="0011636A"/>
    <w:rsid w:val="00132594"/>
    <w:rsid w:val="001333F8"/>
    <w:rsid w:val="00137089"/>
    <w:rsid w:val="00153AFE"/>
    <w:rsid w:val="0016042C"/>
    <w:rsid w:val="001611BF"/>
    <w:rsid w:val="00162AFF"/>
    <w:rsid w:val="001660C8"/>
    <w:rsid w:val="0017010C"/>
    <w:rsid w:val="001704E4"/>
    <w:rsid w:val="00171350"/>
    <w:rsid w:val="00171BFF"/>
    <w:rsid w:val="001720C8"/>
    <w:rsid w:val="00174A08"/>
    <w:rsid w:val="00175BD8"/>
    <w:rsid w:val="00177133"/>
    <w:rsid w:val="00177816"/>
    <w:rsid w:val="00185D5B"/>
    <w:rsid w:val="001876D9"/>
    <w:rsid w:val="001917B4"/>
    <w:rsid w:val="001B521F"/>
    <w:rsid w:val="001B69F6"/>
    <w:rsid w:val="001C2E35"/>
    <w:rsid w:val="001C48CE"/>
    <w:rsid w:val="001C6BB9"/>
    <w:rsid w:val="001D42C0"/>
    <w:rsid w:val="001D4EDF"/>
    <w:rsid w:val="001D5A1F"/>
    <w:rsid w:val="001E62E0"/>
    <w:rsid w:val="001F086D"/>
    <w:rsid w:val="001F242A"/>
    <w:rsid w:val="001F4D72"/>
    <w:rsid w:val="001F7557"/>
    <w:rsid w:val="00211FD4"/>
    <w:rsid w:val="002134A1"/>
    <w:rsid w:val="002175B0"/>
    <w:rsid w:val="002201A4"/>
    <w:rsid w:val="00226A57"/>
    <w:rsid w:val="0022747B"/>
    <w:rsid w:val="0022787F"/>
    <w:rsid w:val="00230464"/>
    <w:rsid w:val="002309B5"/>
    <w:rsid w:val="00230CAB"/>
    <w:rsid w:val="00233D3C"/>
    <w:rsid w:val="00235303"/>
    <w:rsid w:val="00236EFF"/>
    <w:rsid w:val="0025234A"/>
    <w:rsid w:val="002545D3"/>
    <w:rsid w:val="00254C5D"/>
    <w:rsid w:val="00263E33"/>
    <w:rsid w:val="00264B70"/>
    <w:rsid w:val="00267254"/>
    <w:rsid w:val="00276F52"/>
    <w:rsid w:val="002775C1"/>
    <w:rsid w:val="0028330E"/>
    <w:rsid w:val="002906D2"/>
    <w:rsid w:val="00292076"/>
    <w:rsid w:val="002A1824"/>
    <w:rsid w:val="002A20B3"/>
    <w:rsid w:val="002A2722"/>
    <w:rsid w:val="002A533E"/>
    <w:rsid w:val="002B001A"/>
    <w:rsid w:val="002B7DF3"/>
    <w:rsid w:val="002C6A10"/>
    <w:rsid w:val="002C6FE4"/>
    <w:rsid w:val="002D2306"/>
    <w:rsid w:val="002D2C76"/>
    <w:rsid w:val="002D3B2F"/>
    <w:rsid w:val="002D41A5"/>
    <w:rsid w:val="002E4EA0"/>
    <w:rsid w:val="002F0E36"/>
    <w:rsid w:val="002F305D"/>
    <w:rsid w:val="002F3FBE"/>
    <w:rsid w:val="002F4205"/>
    <w:rsid w:val="002F7F3B"/>
    <w:rsid w:val="00301A25"/>
    <w:rsid w:val="00302A0E"/>
    <w:rsid w:val="00302ADB"/>
    <w:rsid w:val="003068EC"/>
    <w:rsid w:val="003109CE"/>
    <w:rsid w:val="00311FF0"/>
    <w:rsid w:val="00314F5B"/>
    <w:rsid w:val="00316897"/>
    <w:rsid w:val="00325800"/>
    <w:rsid w:val="00327915"/>
    <w:rsid w:val="003434B0"/>
    <w:rsid w:val="00344FE4"/>
    <w:rsid w:val="00345049"/>
    <w:rsid w:val="0034705F"/>
    <w:rsid w:val="00351406"/>
    <w:rsid w:val="003561EB"/>
    <w:rsid w:val="00360198"/>
    <w:rsid w:val="003671DD"/>
    <w:rsid w:val="00382D38"/>
    <w:rsid w:val="00383008"/>
    <w:rsid w:val="00383911"/>
    <w:rsid w:val="00386CA3"/>
    <w:rsid w:val="00387299"/>
    <w:rsid w:val="003901F5"/>
    <w:rsid w:val="00397C98"/>
    <w:rsid w:val="003A07C6"/>
    <w:rsid w:val="003A16F2"/>
    <w:rsid w:val="003A44AC"/>
    <w:rsid w:val="003C226F"/>
    <w:rsid w:val="003C36AB"/>
    <w:rsid w:val="003C3725"/>
    <w:rsid w:val="003C4ED9"/>
    <w:rsid w:val="003C6FC9"/>
    <w:rsid w:val="003C77DC"/>
    <w:rsid w:val="003D00E5"/>
    <w:rsid w:val="003D36C8"/>
    <w:rsid w:val="003E179B"/>
    <w:rsid w:val="003E3B37"/>
    <w:rsid w:val="003E4637"/>
    <w:rsid w:val="003F1424"/>
    <w:rsid w:val="003F3CFE"/>
    <w:rsid w:val="003F619E"/>
    <w:rsid w:val="003F7662"/>
    <w:rsid w:val="004013FF"/>
    <w:rsid w:val="00401CE6"/>
    <w:rsid w:val="004102B7"/>
    <w:rsid w:val="0041105E"/>
    <w:rsid w:val="00411897"/>
    <w:rsid w:val="004325CA"/>
    <w:rsid w:val="00432F45"/>
    <w:rsid w:val="0043321B"/>
    <w:rsid w:val="00433586"/>
    <w:rsid w:val="004361BC"/>
    <w:rsid w:val="00437698"/>
    <w:rsid w:val="00437F43"/>
    <w:rsid w:val="00442813"/>
    <w:rsid w:val="0044615A"/>
    <w:rsid w:val="004520AB"/>
    <w:rsid w:val="00464E4C"/>
    <w:rsid w:val="004708EC"/>
    <w:rsid w:val="0047157A"/>
    <w:rsid w:val="0048152E"/>
    <w:rsid w:val="0048330D"/>
    <w:rsid w:val="00485425"/>
    <w:rsid w:val="00485EC1"/>
    <w:rsid w:val="0049570D"/>
    <w:rsid w:val="0049687A"/>
    <w:rsid w:val="00496F32"/>
    <w:rsid w:val="004A005B"/>
    <w:rsid w:val="004A6236"/>
    <w:rsid w:val="004B0BEB"/>
    <w:rsid w:val="004B0E5C"/>
    <w:rsid w:val="004B1D83"/>
    <w:rsid w:val="004B2B78"/>
    <w:rsid w:val="004B4D31"/>
    <w:rsid w:val="004B6077"/>
    <w:rsid w:val="004C04BF"/>
    <w:rsid w:val="004C0C62"/>
    <w:rsid w:val="004C6DB0"/>
    <w:rsid w:val="004C6F1B"/>
    <w:rsid w:val="004D26EC"/>
    <w:rsid w:val="004D5582"/>
    <w:rsid w:val="004D6114"/>
    <w:rsid w:val="004D64BA"/>
    <w:rsid w:val="004F2477"/>
    <w:rsid w:val="004F3339"/>
    <w:rsid w:val="004F4D02"/>
    <w:rsid w:val="00502370"/>
    <w:rsid w:val="00503FA2"/>
    <w:rsid w:val="00511C75"/>
    <w:rsid w:val="00512DA2"/>
    <w:rsid w:val="00512EC1"/>
    <w:rsid w:val="00513AE6"/>
    <w:rsid w:val="005201DE"/>
    <w:rsid w:val="00521459"/>
    <w:rsid w:val="00534E23"/>
    <w:rsid w:val="00535D27"/>
    <w:rsid w:val="00541BCF"/>
    <w:rsid w:val="00542DA8"/>
    <w:rsid w:val="0054344D"/>
    <w:rsid w:val="0054663B"/>
    <w:rsid w:val="00547F72"/>
    <w:rsid w:val="00553F2F"/>
    <w:rsid w:val="00561EAC"/>
    <w:rsid w:val="00572379"/>
    <w:rsid w:val="005742A7"/>
    <w:rsid w:val="00577048"/>
    <w:rsid w:val="00590726"/>
    <w:rsid w:val="00595226"/>
    <w:rsid w:val="005A7258"/>
    <w:rsid w:val="005B1DC1"/>
    <w:rsid w:val="005B513B"/>
    <w:rsid w:val="005B5196"/>
    <w:rsid w:val="005C655B"/>
    <w:rsid w:val="005C6CE1"/>
    <w:rsid w:val="005C7B9E"/>
    <w:rsid w:val="005D6FE9"/>
    <w:rsid w:val="005E2750"/>
    <w:rsid w:val="005E3AB7"/>
    <w:rsid w:val="005F4BD0"/>
    <w:rsid w:val="005F57C9"/>
    <w:rsid w:val="00606B3E"/>
    <w:rsid w:val="00607804"/>
    <w:rsid w:val="00607B0B"/>
    <w:rsid w:val="006102C2"/>
    <w:rsid w:val="00611AFB"/>
    <w:rsid w:val="00612231"/>
    <w:rsid w:val="006340B4"/>
    <w:rsid w:val="00652109"/>
    <w:rsid w:val="00653F25"/>
    <w:rsid w:val="006566F3"/>
    <w:rsid w:val="0066016C"/>
    <w:rsid w:val="00660D5B"/>
    <w:rsid w:val="00670745"/>
    <w:rsid w:val="0067084A"/>
    <w:rsid w:val="00673DD1"/>
    <w:rsid w:val="00676A12"/>
    <w:rsid w:val="00695D15"/>
    <w:rsid w:val="006A2CCC"/>
    <w:rsid w:val="006A332B"/>
    <w:rsid w:val="006A4C2F"/>
    <w:rsid w:val="006A7028"/>
    <w:rsid w:val="006C450F"/>
    <w:rsid w:val="006D360E"/>
    <w:rsid w:val="006F4ABC"/>
    <w:rsid w:val="006F53FB"/>
    <w:rsid w:val="006F794F"/>
    <w:rsid w:val="006F7AA0"/>
    <w:rsid w:val="0070156F"/>
    <w:rsid w:val="007148C7"/>
    <w:rsid w:val="00720C06"/>
    <w:rsid w:val="007306B4"/>
    <w:rsid w:val="00733271"/>
    <w:rsid w:val="007448F3"/>
    <w:rsid w:val="00745B30"/>
    <w:rsid w:val="00745EFC"/>
    <w:rsid w:val="00751F76"/>
    <w:rsid w:val="0075503B"/>
    <w:rsid w:val="0075522B"/>
    <w:rsid w:val="00776899"/>
    <w:rsid w:val="00790F40"/>
    <w:rsid w:val="00790FD8"/>
    <w:rsid w:val="007A1DA9"/>
    <w:rsid w:val="007C2F4E"/>
    <w:rsid w:val="007D26B7"/>
    <w:rsid w:val="007D2971"/>
    <w:rsid w:val="007E5089"/>
    <w:rsid w:val="007F0AF0"/>
    <w:rsid w:val="007F4640"/>
    <w:rsid w:val="007F4B1F"/>
    <w:rsid w:val="007F7A51"/>
    <w:rsid w:val="00802463"/>
    <w:rsid w:val="00804228"/>
    <w:rsid w:val="00814A54"/>
    <w:rsid w:val="0081696E"/>
    <w:rsid w:val="00817FCB"/>
    <w:rsid w:val="00831C3B"/>
    <w:rsid w:val="00832CEE"/>
    <w:rsid w:val="00833E08"/>
    <w:rsid w:val="00841607"/>
    <w:rsid w:val="008514C0"/>
    <w:rsid w:val="00855D75"/>
    <w:rsid w:val="008606B4"/>
    <w:rsid w:val="00865FF0"/>
    <w:rsid w:val="00870630"/>
    <w:rsid w:val="008718E1"/>
    <w:rsid w:val="00876C6E"/>
    <w:rsid w:val="00877026"/>
    <w:rsid w:val="00882888"/>
    <w:rsid w:val="00886334"/>
    <w:rsid w:val="00893D12"/>
    <w:rsid w:val="008A1B1D"/>
    <w:rsid w:val="008A1C9F"/>
    <w:rsid w:val="008A2380"/>
    <w:rsid w:val="008A6323"/>
    <w:rsid w:val="008A68EC"/>
    <w:rsid w:val="008B673F"/>
    <w:rsid w:val="008B7245"/>
    <w:rsid w:val="008D6554"/>
    <w:rsid w:val="008E1D26"/>
    <w:rsid w:val="008F0098"/>
    <w:rsid w:val="008F25F1"/>
    <w:rsid w:val="008F383B"/>
    <w:rsid w:val="008F38C7"/>
    <w:rsid w:val="008F4F15"/>
    <w:rsid w:val="008F5B58"/>
    <w:rsid w:val="00901F55"/>
    <w:rsid w:val="00904C84"/>
    <w:rsid w:val="00905D71"/>
    <w:rsid w:val="00933096"/>
    <w:rsid w:val="009350F4"/>
    <w:rsid w:val="0094027F"/>
    <w:rsid w:val="00942140"/>
    <w:rsid w:val="00942CA6"/>
    <w:rsid w:val="0094757C"/>
    <w:rsid w:val="00951C6B"/>
    <w:rsid w:val="00956265"/>
    <w:rsid w:val="00956C15"/>
    <w:rsid w:val="00961787"/>
    <w:rsid w:val="00964D66"/>
    <w:rsid w:val="0096708C"/>
    <w:rsid w:val="009730C5"/>
    <w:rsid w:val="00973204"/>
    <w:rsid w:val="00973384"/>
    <w:rsid w:val="00980330"/>
    <w:rsid w:val="00980FC1"/>
    <w:rsid w:val="00984803"/>
    <w:rsid w:val="00995B64"/>
    <w:rsid w:val="00996B2B"/>
    <w:rsid w:val="009A2FF7"/>
    <w:rsid w:val="009A4685"/>
    <w:rsid w:val="009B075B"/>
    <w:rsid w:val="009B0820"/>
    <w:rsid w:val="009B168B"/>
    <w:rsid w:val="009B32C2"/>
    <w:rsid w:val="009B6554"/>
    <w:rsid w:val="009C4644"/>
    <w:rsid w:val="009D1845"/>
    <w:rsid w:val="009D18E1"/>
    <w:rsid w:val="009D35EF"/>
    <w:rsid w:val="009D7BBD"/>
    <w:rsid w:val="009E00BE"/>
    <w:rsid w:val="009E0390"/>
    <w:rsid w:val="009E41F1"/>
    <w:rsid w:val="009E4447"/>
    <w:rsid w:val="009E4F98"/>
    <w:rsid w:val="009E7D73"/>
    <w:rsid w:val="00A01C98"/>
    <w:rsid w:val="00A06C63"/>
    <w:rsid w:val="00A07C50"/>
    <w:rsid w:val="00A10E2F"/>
    <w:rsid w:val="00A11EDA"/>
    <w:rsid w:val="00A13566"/>
    <w:rsid w:val="00A135CD"/>
    <w:rsid w:val="00A210A0"/>
    <w:rsid w:val="00A2341F"/>
    <w:rsid w:val="00A26629"/>
    <w:rsid w:val="00A27BB6"/>
    <w:rsid w:val="00A32290"/>
    <w:rsid w:val="00A355CE"/>
    <w:rsid w:val="00A367F5"/>
    <w:rsid w:val="00A40A3A"/>
    <w:rsid w:val="00A42BF9"/>
    <w:rsid w:val="00A4543C"/>
    <w:rsid w:val="00A56337"/>
    <w:rsid w:val="00A614DE"/>
    <w:rsid w:val="00A619F1"/>
    <w:rsid w:val="00A70126"/>
    <w:rsid w:val="00A72B35"/>
    <w:rsid w:val="00A75C32"/>
    <w:rsid w:val="00A80D80"/>
    <w:rsid w:val="00A81E33"/>
    <w:rsid w:val="00A82E91"/>
    <w:rsid w:val="00A86B4E"/>
    <w:rsid w:val="00A87CC0"/>
    <w:rsid w:val="00A9255E"/>
    <w:rsid w:val="00A92C76"/>
    <w:rsid w:val="00A965DF"/>
    <w:rsid w:val="00AA212C"/>
    <w:rsid w:val="00AB4BC1"/>
    <w:rsid w:val="00AB4FAA"/>
    <w:rsid w:val="00AB5BC6"/>
    <w:rsid w:val="00AD25E4"/>
    <w:rsid w:val="00AD2F5C"/>
    <w:rsid w:val="00AD3ADB"/>
    <w:rsid w:val="00AD4EC0"/>
    <w:rsid w:val="00AE294A"/>
    <w:rsid w:val="00AE599A"/>
    <w:rsid w:val="00AE604B"/>
    <w:rsid w:val="00AF5B31"/>
    <w:rsid w:val="00B060E9"/>
    <w:rsid w:val="00B129A6"/>
    <w:rsid w:val="00B13486"/>
    <w:rsid w:val="00B20F40"/>
    <w:rsid w:val="00B229AD"/>
    <w:rsid w:val="00B30D93"/>
    <w:rsid w:val="00B321F8"/>
    <w:rsid w:val="00B37C5B"/>
    <w:rsid w:val="00B37D0C"/>
    <w:rsid w:val="00B37EAC"/>
    <w:rsid w:val="00B426BE"/>
    <w:rsid w:val="00B53860"/>
    <w:rsid w:val="00B53BA5"/>
    <w:rsid w:val="00B56EAD"/>
    <w:rsid w:val="00B57120"/>
    <w:rsid w:val="00B612CD"/>
    <w:rsid w:val="00B66D59"/>
    <w:rsid w:val="00B7004B"/>
    <w:rsid w:val="00B755C1"/>
    <w:rsid w:val="00B827D4"/>
    <w:rsid w:val="00B83726"/>
    <w:rsid w:val="00B93C76"/>
    <w:rsid w:val="00B93F6E"/>
    <w:rsid w:val="00BA45A2"/>
    <w:rsid w:val="00BA695F"/>
    <w:rsid w:val="00BB1B0A"/>
    <w:rsid w:val="00BB32D4"/>
    <w:rsid w:val="00BC42A5"/>
    <w:rsid w:val="00BD3D09"/>
    <w:rsid w:val="00BD6B22"/>
    <w:rsid w:val="00BE258E"/>
    <w:rsid w:val="00BE5052"/>
    <w:rsid w:val="00BE545F"/>
    <w:rsid w:val="00BF0145"/>
    <w:rsid w:val="00BF7DC7"/>
    <w:rsid w:val="00C0056E"/>
    <w:rsid w:val="00C0287A"/>
    <w:rsid w:val="00C1025E"/>
    <w:rsid w:val="00C1560C"/>
    <w:rsid w:val="00C16AFB"/>
    <w:rsid w:val="00C20E08"/>
    <w:rsid w:val="00C22A60"/>
    <w:rsid w:val="00C23F07"/>
    <w:rsid w:val="00C27B21"/>
    <w:rsid w:val="00C32168"/>
    <w:rsid w:val="00C40A29"/>
    <w:rsid w:val="00C42DA4"/>
    <w:rsid w:val="00C53A63"/>
    <w:rsid w:val="00C55DC2"/>
    <w:rsid w:val="00C6202B"/>
    <w:rsid w:val="00C6747C"/>
    <w:rsid w:val="00C6796A"/>
    <w:rsid w:val="00C72F25"/>
    <w:rsid w:val="00C776CF"/>
    <w:rsid w:val="00C82167"/>
    <w:rsid w:val="00C8416D"/>
    <w:rsid w:val="00C90468"/>
    <w:rsid w:val="00C93AFE"/>
    <w:rsid w:val="00C95A2A"/>
    <w:rsid w:val="00C97F4A"/>
    <w:rsid w:val="00CA0661"/>
    <w:rsid w:val="00CA4080"/>
    <w:rsid w:val="00CA55A6"/>
    <w:rsid w:val="00CA579F"/>
    <w:rsid w:val="00CB203B"/>
    <w:rsid w:val="00CC3345"/>
    <w:rsid w:val="00CC5F30"/>
    <w:rsid w:val="00CC7A83"/>
    <w:rsid w:val="00CD0E28"/>
    <w:rsid w:val="00CD5207"/>
    <w:rsid w:val="00CD5D68"/>
    <w:rsid w:val="00CE07DD"/>
    <w:rsid w:val="00CE7A72"/>
    <w:rsid w:val="00CF1F88"/>
    <w:rsid w:val="00CF5AAB"/>
    <w:rsid w:val="00D006FE"/>
    <w:rsid w:val="00D020E7"/>
    <w:rsid w:val="00D22616"/>
    <w:rsid w:val="00D2448F"/>
    <w:rsid w:val="00D246BD"/>
    <w:rsid w:val="00D247AE"/>
    <w:rsid w:val="00D27D99"/>
    <w:rsid w:val="00D40133"/>
    <w:rsid w:val="00D542AB"/>
    <w:rsid w:val="00D60439"/>
    <w:rsid w:val="00D618A5"/>
    <w:rsid w:val="00D62C4E"/>
    <w:rsid w:val="00D64D9D"/>
    <w:rsid w:val="00D72E8A"/>
    <w:rsid w:val="00D72F3C"/>
    <w:rsid w:val="00D730E9"/>
    <w:rsid w:val="00D83AB3"/>
    <w:rsid w:val="00D83B74"/>
    <w:rsid w:val="00D86520"/>
    <w:rsid w:val="00D902CF"/>
    <w:rsid w:val="00D94C60"/>
    <w:rsid w:val="00DA553A"/>
    <w:rsid w:val="00DA5986"/>
    <w:rsid w:val="00DA7E0E"/>
    <w:rsid w:val="00DA7F6B"/>
    <w:rsid w:val="00DB42A5"/>
    <w:rsid w:val="00DB6738"/>
    <w:rsid w:val="00DB71E3"/>
    <w:rsid w:val="00DC1932"/>
    <w:rsid w:val="00DC4B35"/>
    <w:rsid w:val="00DC768C"/>
    <w:rsid w:val="00DD64D8"/>
    <w:rsid w:val="00DE0664"/>
    <w:rsid w:val="00DE17E0"/>
    <w:rsid w:val="00DE1EC6"/>
    <w:rsid w:val="00DE3D36"/>
    <w:rsid w:val="00DE3F76"/>
    <w:rsid w:val="00DE5443"/>
    <w:rsid w:val="00DF37C2"/>
    <w:rsid w:val="00E016F8"/>
    <w:rsid w:val="00E10097"/>
    <w:rsid w:val="00E10953"/>
    <w:rsid w:val="00E118A8"/>
    <w:rsid w:val="00E20305"/>
    <w:rsid w:val="00E27D40"/>
    <w:rsid w:val="00E3028B"/>
    <w:rsid w:val="00E313CA"/>
    <w:rsid w:val="00E423A2"/>
    <w:rsid w:val="00E43C50"/>
    <w:rsid w:val="00E52C09"/>
    <w:rsid w:val="00E67532"/>
    <w:rsid w:val="00E67A03"/>
    <w:rsid w:val="00E84BD3"/>
    <w:rsid w:val="00E912B5"/>
    <w:rsid w:val="00E92D18"/>
    <w:rsid w:val="00E94D7D"/>
    <w:rsid w:val="00E96DE8"/>
    <w:rsid w:val="00EA03B0"/>
    <w:rsid w:val="00EA0D10"/>
    <w:rsid w:val="00EA2EC7"/>
    <w:rsid w:val="00EA3FF1"/>
    <w:rsid w:val="00EA6D5C"/>
    <w:rsid w:val="00EB339A"/>
    <w:rsid w:val="00EC381B"/>
    <w:rsid w:val="00EC4D28"/>
    <w:rsid w:val="00EC594C"/>
    <w:rsid w:val="00EC665E"/>
    <w:rsid w:val="00ED2B1F"/>
    <w:rsid w:val="00ED2E4D"/>
    <w:rsid w:val="00EE2D02"/>
    <w:rsid w:val="00EE7C86"/>
    <w:rsid w:val="00EF0AFD"/>
    <w:rsid w:val="00EF38B1"/>
    <w:rsid w:val="00EF4E8F"/>
    <w:rsid w:val="00F00D24"/>
    <w:rsid w:val="00F044CD"/>
    <w:rsid w:val="00F11134"/>
    <w:rsid w:val="00F13976"/>
    <w:rsid w:val="00F13FA7"/>
    <w:rsid w:val="00F30F98"/>
    <w:rsid w:val="00F418B6"/>
    <w:rsid w:val="00F43E6F"/>
    <w:rsid w:val="00F65177"/>
    <w:rsid w:val="00F66A34"/>
    <w:rsid w:val="00F7045C"/>
    <w:rsid w:val="00F70DC4"/>
    <w:rsid w:val="00F71D46"/>
    <w:rsid w:val="00F74404"/>
    <w:rsid w:val="00F829E8"/>
    <w:rsid w:val="00F83508"/>
    <w:rsid w:val="00F877F0"/>
    <w:rsid w:val="00F92CF7"/>
    <w:rsid w:val="00F93CCF"/>
    <w:rsid w:val="00F954D1"/>
    <w:rsid w:val="00F967DA"/>
    <w:rsid w:val="00FA02FE"/>
    <w:rsid w:val="00FA0795"/>
    <w:rsid w:val="00FA500D"/>
    <w:rsid w:val="00FA56DF"/>
    <w:rsid w:val="00FB5D59"/>
    <w:rsid w:val="00FC2E4E"/>
    <w:rsid w:val="00FC3E5D"/>
    <w:rsid w:val="00FC4D2E"/>
    <w:rsid w:val="00FC5ED1"/>
    <w:rsid w:val="00FC6FDF"/>
    <w:rsid w:val="00FC73DA"/>
    <w:rsid w:val="00FD4EE5"/>
    <w:rsid w:val="00FD7478"/>
    <w:rsid w:val="00FE03B3"/>
    <w:rsid w:val="00FF23F7"/>
    <w:rsid w:val="00FF32CC"/>
    <w:rsid w:val="00FF535C"/>
    <w:rsid w:val="00FF6C29"/>
    <w:rsid w:val="00FF7087"/>
    <w:rsid w:val="14610677"/>
    <w:rsid w:val="7BB43E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ind w:left="0" w:firstLine="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0"/>
    <w:pPr>
      <w:keepNext/>
      <w:keepLines/>
      <w:spacing w:before="340" w:after="330" w:line="578" w:lineRule="auto"/>
      <w:jc w:val="center"/>
      <w:outlineLvl w:val="0"/>
    </w:pPr>
    <w:rPr>
      <w:rFonts w:ascii="仿宋_GB2312" w:eastAsia="仿宋_GB2312"/>
      <w:b/>
      <w:bCs/>
      <w:sz w:val="32"/>
    </w:rPr>
  </w:style>
  <w:style w:type="paragraph" w:styleId="3">
    <w:name w:val="heading 2"/>
    <w:basedOn w:val="1"/>
    <w:next w:val="1"/>
    <w:link w:val="19"/>
    <w:qFormat/>
    <w:uiPriority w:val="0"/>
    <w:pPr>
      <w:keepNext/>
      <w:keepLines/>
      <w:spacing w:before="260" w:after="260" w:line="415" w:lineRule="auto"/>
      <w:jc w:val="center"/>
      <w:outlineLvl w:val="1"/>
    </w:pPr>
    <w:rPr>
      <w:rFonts w:ascii="仿宋_GB2312" w:hAnsi="Arial" w:eastAsia="仿宋_GB2312"/>
      <w:b/>
      <w:bCs/>
      <w:sz w:val="32"/>
    </w:rPr>
  </w:style>
  <w:style w:type="character" w:default="1" w:styleId="11">
    <w:name w:val="Default Paragraph Font"/>
    <w:semiHidden/>
    <w:unhideWhenUsed/>
    <w:uiPriority w:val="1"/>
  </w:style>
  <w:style w:type="table" w:default="1" w:styleId="15">
    <w:name w:val="Normal Table"/>
    <w:semiHidden/>
    <w:unhideWhenUsed/>
    <w:uiPriority w:val="99"/>
    <w:tblPr>
      <w:tblLayout w:type="fixed"/>
      <w:tblCellMar>
        <w:top w:w="0" w:type="dxa"/>
        <w:left w:w="108" w:type="dxa"/>
        <w:bottom w:w="0" w:type="dxa"/>
        <w:right w:w="108" w:type="dxa"/>
      </w:tblCellMar>
    </w:tblPr>
  </w:style>
  <w:style w:type="paragraph" w:styleId="4">
    <w:name w:val="annotation subject"/>
    <w:basedOn w:val="5"/>
    <w:next w:val="5"/>
    <w:link w:val="23"/>
    <w:semiHidden/>
    <w:unhideWhenUsed/>
    <w:qFormat/>
    <w:uiPriority w:val="99"/>
    <w:pPr>
      <w:spacing w:line="240" w:lineRule="auto"/>
      <w:ind w:left="0" w:firstLine="0"/>
    </w:pPr>
    <w:rPr>
      <w:rFonts w:ascii="Times New Roman" w:hAnsi="Times New Roman" w:eastAsia="宋体" w:cs="Times New Roman"/>
      <w:b/>
      <w:bCs/>
      <w:szCs w:val="24"/>
    </w:rPr>
  </w:style>
  <w:style w:type="paragraph" w:styleId="5">
    <w:name w:val="annotation text"/>
    <w:basedOn w:val="1"/>
    <w:link w:val="21"/>
    <w:semiHidden/>
    <w:unhideWhenUsed/>
    <w:qFormat/>
    <w:uiPriority w:val="99"/>
    <w:pPr>
      <w:spacing w:line="360" w:lineRule="auto"/>
      <w:ind w:left="142" w:firstLine="284"/>
      <w:jc w:val="left"/>
    </w:pPr>
    <w:rPr>
      <w:rFonts w:asciiTheme="minorHAnsi" w:hAnsiTheme="minorHAnsi" w:eastAsiaTheme="minorEastAsia" w:cstheme="minorBidi"/>
      <w:szCs w:val="22"/>
    </w:rPr>
  </w:style>
  <w:style w:type="paragraph" w:styleId="6">
    <w:name w:val="Balloon Text"/>
    <w:basedOn w:val="1"/>
    <w:link w:val="22"/>
    <w:semiHidden/>
    <w:unhideWhenUsed/>
    <w:qFormat/>
    <w:uiPriority w:val="99"/>
    <w:rPr>
      <w:sz w:val="18"/>
      <w:szCs w:val="18"/>
    </w:rPr>
  </w:style>
  <w:style w:type="paragraph" w:styleId="7">
    <w:name w:val="footer"/>
    <w:basedOn w:val="1"/>
    <w:link w:val="17"/>
    <w:unhideWhenUsed/>
    <w:uiPriority w:val="99"/>
    <w:pPr>
      <w:tabs>
        <w:tab w:val="center" w:pos="4153"/>
        <w:tab w:val="right" w:pos="8306"/>
      </w:tabs>
      <w:snapToGrid w:val="0"/>
      <w:jc w:val="left"/>
    </w:pPr>
    <w:rPr>
      <w:sz w:val="18"/>
      <w:szCs w:val="18"/>
    </w:rPr>
  </w:style>
  <w:style w:type="paragraph" w:styleId="8">
    <w:name w:val="header"/>
    <w:basedOn w:val="1"/>
    <w:link w:val="16"/>
    <w:unhideWhenUsed/>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semiHidden/>
    <w:qFormat/>
    <w:uiPriority w:val="0"/>
    <w:pPr>
      <w:tabs>
        <w:tab w:val="right" w:pos="9344"/>
      </w:tabs>
      <w:spacing w:before="120" w:after="120" w:line="360" w:lineRule="auto"/>
      <w:jc w:val="center"/>
      <w:outlineLvl w:val="0"/>
    </w:pPr>
    <w:rPr>
      <w:rFonts w:asciiTheme="majorEastAsia" w:hAnsiTheme="majorEastAsia" w:eastAsiaTheme="majorEastAsia"/>
      <w:b/>
      <w:bCs/>
      <w:iCs/>
      <w:color w:val="000000" w:themeColor="text1"/>
      <w:sz w:val="32"/>
      <w:szCs w:val="32"/>
    </w:rPr>
  </w:style>
  <w:style w:type="paragraph" w:styleId="10">
    <w:name w:val="toc 2"/>
    <w:basedOn w:val="1"/>
    <w:next w:val="1"/>
    <w:semiHidden/>
    <w:qFormat/>
    <w:uiPriority w:val="0"/>
    <w:pPr>
      <w:tabs>
        <w:tab w:val="right" w:pos="9344"/>
      </w:tabs>
      <w:spacing w:before="120" w:after="120" w:line="360" w:lineRule="auto"/>
    </w:pPr>
    <w:rPr>
      <w:i/>
      <w:iCs/>
      <w:sz w:val="20"/>
      <w:szCs w:val="20"/>
    </w:rPr>
  </w:style>
  <w:style w:type="character" w:styleId="12">
    <w:name w:val="page number"/>
    <w:basedOn w:val="11"/>
    <w:qFormat/>
    <w:uiPriority w:val="0"/>
  </w:style>
  <w:style w:type="character" w:styleId="13">
    <w:name w:val="Hyperlink"/>
    <w:qFormat/>
    <w:uiPriority w:val="0"/>
    <w:rPr>
      <w:color w:val="0000FF"/>
      <w:u w:val="single"/>
    </w:rPr>
  </w:style>
  <w:style w:type="character" w:styleId="14">
    <w:name w:val="annotation reference"/>
    <w:basedOn w:val="11"/>
    <w:semiHidden/>
    <w:unhideWhenUsed/>
    <w:qFormat/>
    <w:uiPriority w:val="99"/>
    <w:rPr>
      <w:sz w:val="21"/>
      <w:szCs w:val="21"/>
    </w:rPr>
  </w:style>
  <w:style w:type="character" w:customStyle="1" w:styleId="16">
    <w:name w:val="页眉 字符"/>
    <w:basedOn w:val="11"/>
    <w:link w:val="8"/>
    <w:uiPriority w:val="0"/>
    <w:rPr>
      <w:sz w:val="18"/>
      <w:szCs w:val="18"/>
    </w:rPr>
  </w:style>
  <w:style w:type="character" w:customStyle="1" w:styleId="17">
    <w:name w:val="页脚 字符"/>
    <w:basedOn w:val="11"/>
    <w:link w:val="7"/>
    <w:uiPriority w:val="99"/>
    <w:rPr>
      <w:sz w:val="18"/>
      <w:szCs w:val="18"/>
    </w:rPr>
  </w:style>
  <w:style w:type="character" w:customStyle="1" w:styleId="18">
    <w:name w:val="标题 1 字符"/>
    <w:basedOn w:val="11"/>
    <w:link w:val="2"/>
    <w:uiPriority w:val="0"/>
    <w:rPr>
      <w:rFonts w:ascii="仿宋_GB2312" w:hAnsi="Times New Roman" w:eastAsia="仿宋_GB2312" w:cs="Times New Roman"/>
      <w:b/>
      <w:bCs/>
      <w:sz w:val="32"/>
      <w:szCs w:val="24"/>
    </w:rPr>
  </w:style>
  <w:style w:type="character" w:customStyle="1" w:styleId="19">
    <w:name w:val="标题 2 字符"/>
    <w:basedOn w:val="11"/>
    <w:link w:val="3"/>
    <w:uiPriority w:val="0"/>
    <w:rPr>
      <w:rFonts w:ascii="仿宋_GB2312" w:hAnsi="Arial" w:eastAsia="仿宋_GB2312" w:cs="Times New Roman"/>
      <w:b/>
      <w:bCs/>
      <w:sz w:val="32"/>
      <w:szCs w:val="24"/>
    </w:rPr>
  </w:style>
  <w:style w:type="paragraph" w:customStyle="1" w:styleId="20">
    <w:name w:val="dash6b63_6587"/>
    <w:basedOn w:val="1"/>
    <w:qFormat/>
    <w:uiPriority w:val="0"/>
    <w:pPr>
      <w:widowControl/>
    </w:pPr>
    <w:rPr>
      <w:kern w:val="0"/>
      <w:sz w:val="20"/>
      <w:szCs w:val="20"/>
    </w:rPr>
  </w:style>
  <w:style w:type="character" w:customStyle="1" w:styleId="21">
    <w:name w:val="批注文字 字符"/>
    <w:basedOn w:val="11"/>
    <w:link w:val="5"/>
    <w:semiHidden/>
    <w:qFormat/>
    <w:uiPriority w:val="99"/>
  </w:style>
  <w:style w:type="character" w:customStyle="1" w:styleId="22">
    <w:name w:val="批注框文本 字符"/>
    <w:basedOn w:val="11"/>
    <w:link w:val="6"/>
    <w:semiHidden/>
    <w:qFormat/>
    <w:uiPriority w:val="99"/>
    <w:rPr>
      <w:rFonts w:ascii="Times New Roman" w:hAnsi="Times New Roman" w:eastAsia="宋体" w:cs="Times New Roman"/>
      <w:sz w:val="18"/>
      <w:szCs w:val="18"/>
    </w:rPr>
  </w:style>
  <w:style w:type="character" w:customStyle="1" w:styleId="23">
    <w:name w:val="批注主题 字符"/>
    <w:basedOn w:val="21"/>
    <w:link w:val="4"/>
    <w:semiHidden/>
    <w:qFormat/>
    <w:uiPriority w:val="99"/>
    <w:rPr>
      <w:rFonts w:ascii="Times New Roman" w:hAnsi="Times New Roman" w:eastAsia="宋体" w:cs="Times New Roman"/>
      <w:b/>
      <w:bCs/>
      <w:szCs w:val="24"/>
    </w:rPr>
  </w:style>
  <w:style w:type="paragraph" w:styleId="2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735100-A0FC-4282-A784-61358121C43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877</Words>
  <Characters>5004</Characters>
  <Lines>41</Lines>
  <Paragraphs>11</Paragraphs>
  <TotalTime>783</TotalTime>
  <ScaleCrop>false</ScaleCrop>
  <LinksUpToDate>false</LinksUpToDate>
  <CharactersWithSpaces>5870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2015-12-10T01:29:00Z</dcterms:created>
  <dc:creator>黄丽娟</dc:creator>
  <cp:lastModifiedBy>娃儿乐</cp:lastModifiedBy>
  <cp:lastPrinted>2015-12-31T01:10:00Z</cp:lastPrinted>
  <dcterms:modified xsi:type="dcterms:W3CDTF">2018-10-08T08:51:38Z</dcterms:modified>
  <cp:revision>120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